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41BB" w14:textId="77777777" w:rsidR="00EB5114" w:rsidRPr="00EB5114" w:rsidRDefault="00EB5114" w:rsidP="00EB5114">
      <w:pPr>
        <w:rPr>
          <w:rFonts w:ascii="Calibri" w:eastAsia="Times New Roman" w:hAnsi="Calibri" w:cs="Calibri"/>
          <w:color w:val="000000"/>
          <w:sz w:val="22"/>
          <w:szCs w:val="22"/>
        </w:rPr>
      </w:pPr>
      <w:bookmarkStart w:id="0" w:name="_Hlk172291621"/>
      <w:r w:rsidRPr="00EB5114">
        <w:rPr>
          <w:rFonts w:ascii="Calibri" w:eastAsia="Times New Roman" w:hAnsi="Calibri" w:cs="Calibri"/>
          <w:color w:val="000000"/>
          <w:sz w:val="22"/>
          <w:szCs w:val="22"/>
        </w:rPr>
        <w:t>Dear Faculty,</w:t>
      </w:r>
    </w:p>
    <w:p w14:paraId="668F49F0" w14:textId="77777777" w:rsidR="00EB5114" w:rsidRPr="00EB5114" w:rsidRDefault="00EB5114" w:rsidP="00EB5114">
      <w:pPr>
        <w:rPr>
          <w:rFonts w:ascii="Calibri" w:eastAsia="Times New Roman" w:hAnsi="Calibri" w:cs="Calibri"/>
          <w:color w:val="000000"/>
          <w:sz w:val="22"/>
          <w:szCs w:val="22"/>
        </w:rPr>
      </w:pPr>
    </w:p>
    <w:p w14:paraId="345381A5" w14:textId="428E4239"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color w:val="000000"/>
          <w:sz w:val="22"/>
          <w:szCs w:val="22"/>
        </w:rPr>
        <w:t xml:space="preserve">We are pleased to announce the 2024-2025 </w:t>
      </w:r>
      <w:r w:rsidRPr="00EB5114">
        <w:rPr>
          <w:rFonts w:ascii="Calibri" w:eastAsia="Times New Roman" w:hAnsi="Calibri" w:cs="Calibri"/>
          <w:b/>
          <w:bCs/>
          <w:color w:val="000000"/>
          <w:sz w:val="22"/>
          <w:szCs w:val="22"/>
        </w:rPr>
        <w:t xml:space="preserve">Targeted Research Opportunity (TRO) </w:t>
      </w:r>
      <w:r w:rsidRPr="00EB5114">
        <w:rPr>
          <w:rFonts w:ascii="Calibri" w:eastAsia="Times New Roman" w:hAnsi="Calibri" w:cs="Calibri"/>
          <w:color w:val="000000"/>
          <w:sz w:val="22"/>
          <w:szCs w:val="22"/>
        </w:rPr>
        <w:t>awards program in support of research areas targeted by philanthropic and RSOM support.</w:t>
      </w:r>
    </w:p>
    <w:p w14:paraId="02A16133"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color w:val="000000"/>
          <w:sz w:val="22"/>
          <w:szCs w:val="22"/>
        </w:rPr>
        <w:t xml:space="preserve">All RSOM faculty who have not received a TRO within the past 3 years are eligible, with junior faculty given priority. Faculty members may only be listed on one application. Department chair confirmation of matching funds (see </w:t>
      </w:r>
      <w:r w:rsidRPr="00EB5114">
        <w:rPr>
          <w:rFonts w:ascii="Calibri" w:eastAsia="Times New Roman" w:hAnsi="Calibri" w:cs="Calibri"/>
          <w:b/>
          <w:bCs/>
          <w:color w:val="000000"/>
          <w:sz w:val="22"/>
          <w:szCs w:val="22"/>
        </w:rPr>
        <w:t>Table</w:t>
      </w:r>
      <w:r w:rsidRPr="00EB5114">
        <w:rPr>
          <w:rFonts w:ascii="Calibri" w:eastAsia="Times New Roman" w:hAnsi="Calibri" w:cs="Calibri"/>
          <w:color w:val="000000"/>
          <w:sz w:val="22"/>
          <w:szCs w:val="22"/>
        </w:rPr>
        <w:t>) is required. Awards will be activated on or about November 1, 2024. Awardees agree to provide a progress report and evidence of IRB/IACUC approval and continuing review after the first year of grant award. The grant mechanism needs to be acknowledged in any forthcoming abstracts or publications. Application packet is attached.</w:t>
      </w:r>
    </w:p>
    <w:p w14:paraId="041A953B"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 </w:t>
      </w:r>
    </w:p>
    <w:p w14:paraId="0ADBB8A7" w14:textId="77777777" w:rsidR="00EB5114" w:rsidRPr="00EB5114" w:rsidRDefault="00EB5114" w:rsidP="00EB5114">
      <w:pPr>
        <w:numPr>
          <w:ilvl w:val="0"/>
          <w:numId w:val="1"/>
        </w:num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 xml:space="preserve">The Carol M. Baldwin Foundation for Breast Cancer Research Award </w:t>
      </w:r>
      <w:r w:rsidRPr="00EB5114">
        <w:rPr>
          <w:rFonts w:ascii="Calibri" w:eastAsia="Times New Roman" w:hAnsi="Calibri" w:cs="Calibri"/>
          <w:color w:val="000000"/>
          <w:sz w:val="22"/>
          <w:szCs w:val="22"/>
        </w:rPr>
        <w:t>is intended to advance research on Breast Cancer. Priority will be given to investigators who have outstanding research proposals in breast cancer and for whom the award will allow the development of competitive extramural funding, NCI preferred. Additional criteria include the translational aspects to the proposed studies and the collaborative nature of the proposal. Funding for year 2 is contingent on the successful research progress in Year 1 and approval by the selection committee. One of the awards will be dedicated to clinical research.    </w:t>
      </w:r>
    </w:p>
    <w:p w14:paraId="2A479C54"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color w:val="000000"/>
          <w:sz w:val="22"/>
          <w:szCs w:val="22"/>
        </w:rPr>
        <w:t> </w:t>
      </w:r>
    </w:p>
    <w:p w14:paraId="1844F98B" w14:textId="77777777" w:rsidR="00EB5114" w:rsidRPr="00EB5114" w:rsidRDefault="00EB5114" w:rsidP="00EB5114">
      <w:pPr>
        <w:numPr>
          <w:ilvl w:val="0"/>
          <w:numId w:val="2"/>
        </w:num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 xml:space="preserve">The </w:t>
      </w:r>
      <w:proofErr w:type="spellStart"/>
      <w:r w:rsidRPr="00EB5114">
        <w:rPr>
          <w:rFonts w:ascii="Calibri" w:eastAsia="Times New Roman" w:hAnsi="Calibri" w:cs="Calibri"/>
          <w:b/>
          <w:bCs/>
          <w:color w:val="000000"/>
          <w:sz w:val="22"/>
          <w:szCs w:val="22"/>
        </w:rPr>
        <w:t>Catacosinos</w:t>
      </w:r>
      <w:proofErr w:type="spellEnd"/>
      <w:r w:rsidRPr="00EB5114">
        <w:rPr>
          <w:rFonts w:ascii="Calibri" w:eastAsia="Times New Roman" w:hAnsi="Calibri" w:cs="Calibri"/>
          <w:b/>
          <w:bCs/>
          <w:color w:val="000000"/>
          <w:sz w:val="22"/>
          <w:szCs w:val="22"/>
        </w:rPr>
        <w:t xml:space="preserve"> Cancer Translational Researcher Award</w:t>
      </w:r>
      <w:r w:rsidRPr="00EB5114">
        <w:rPr>
          <w:rFonts w:ascii="Calibri" w:eastAsia="Times New Roman" w:hAnsi="Calibri" w:cs="Calibri"/>
          <w:color w:val="000000"/>
          <w:sz w:val="22"/>
          <w:szCs w:val="22"/>
        </w:rPr>
        <w:t> is intended to advance research in cancer. Priority will be given to investigators who have outstanding research proposals in cancer and for whom the award will allow the development of competitive extramural funding, NCI preferred. Additional criteria include the translational aspects to the proposed studies and the collaborative nature of the proposal. </w:t>
      </w:r>
    </w:p>
    <w:p w14:paraId="292610D4"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 </w:t>
      </w:r>
    </w:p>
    <w:p w14:paraId="34606BDC" w14:textId="77777777" w:rsidR="00EB5114" w:rsidRPr="00EB5114" w:rsidRDefault="00EB5114" w:rsidP="00EB5114">
      <w:pPr>
        <w:numPr>
          <w:ilvl w:val="0"/>
          <w:numId w:val="3"/>
        </w:num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 xml:space="preserve">The VDR Fusion Award </w:t>
      </w:r>
      <w:r w:rsidRPr="00EB5114">
        <w:rPr>
          <w:rFonts w:ascii="Calibri" w:eastAsia="Times New Roman" w:hAnsi="Calibri" w:cs="Calibri"/>
          <w:color w:val="000000"/>
          <w:sz w:val="22"/>
          <w:szCs w:val="22"/>
        </w:rPr>
        <w:t>is intended to fund projects that emphasize translation of bench research into clinical care and/or interdisciplinary research, requiring a contact PI and a co-PI, one from a clinical and one from a basic science department. It is intended to be used to generate preliminary data for extramural federal grants or investigator-initiated, industry-sponsored clinical trials. Funding for year 2 is contingent on the successful research progress in Year 1 and approval by the selection committee. </w:t>
      </w:r>
    </w:p>
    <w:p w14:paraId="72169E67"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color w:val="000000"/>
          <w:sz w:val="22"/>
          <w:szCs w:val="22"/>
        </w:rPr>
        <w:t> </w:t>
      </w:r>
    </w:p>
    <w:p w14:paraId="68C7BA32" w14:textId="1FAC07EE" w:rsidR="00EB5114" w:rsidRPr="00AF514E" w:rsidRDefault="00EB5114" w:rsidP="00AF514E">
      <w:pPr>
        <w:numPr>
          <w:ilvl w:val="0"/>
          <w:numId w:val="4"/>
        </w:num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The VDR AI-Targeted Clinical Research Award</w:t>
      </w:r>
      <w:r w:rsidRPr="00EB5114">
        <w:rPr>
          <w:rFonts w:ascii="Calibri" w:eastAsia="Times New Roman" w:hAnsi="Calibri" w:cs="Calibri"/>
          <w:color w:val="000000"/>
          <w:sz w:val="22"/>
          <w:szCs w:val="22"/>
        </w:rPr>
        <w:t xml:space="preserve"> is designed to support clinical research that aims to test or integrate the use of AI or machine learning to diagnose, treat, manage, or prognosticate human disease. Collaboration with the Departments of Biomedical Informatics or Biomedical Engineering are encouraged. Funding will be provided to applicants who have a high potential for converting these projects into an extramural peer-reviewed research award, with an intent to apply for NIH funding given priority. Funding for year 2 is contingent on the successful research progress in Year 1 and approval by the </w:t>
      </w:r>
      <w:r w:rsidRPr="00AF514E">
        <w:rPr>
          <w:rFonts w:ascii="Calibri" w:eastAsia="Times New Roman" w:hAnsi="Calibri" w:cs="Calibri"/>
          <w:color w:val="000000"/>
          <w:sz w:val="22"/>
          <w:szCs w:val="22"/>
        </w:rPr>
        <w:t>selection committee. </w:t>
      </w:r>
    </w:p>
    <w:p w14:paraId="513EF5D7" w14:textId="77777777" w:rsidR="00EB5114" w:rsidRPr="00EB5114" w:rsidRDefault="00EB5114" w:rsidP="00EB5114">
      <w:pPr>
        <w:ind w:firstLine="720"/>
        <w:jc w:val="both"/>
        <w:rPr>
          <w:rFonts w:ascii="Calibri" w:eastAsia="Times New Roman" w:hAnsi="Calibri" w:cs="Calibri"/>
          <w:color w:val="000000"/>
          <w:sz w:val="22"/>
          <w:szCs w:val="22"/>
        </w:rPr>
      </w:pPr>
      <w:r w:rsidRPr="00EB5114">
        <w:rPr>
          <w:rFonts w:ascii="Calibri" w:eastAsia="Times New Roman" w:hAnsi="Calibri" w:cs="Calibri"/>
          <w:color w:val="000000"/>
          <w:sz w:val="22"/>
          <w:szCs w:val="22"/>
        </w:rPr>
        <w:t> </w:t>
      </w:r>
    </w:p>
    <w:p w14:paraId="0ABBC897" w14:textId="77777777" w:rsidR="00EB5114" w:rsidRPr="00EB5114" w:rsidRDefault="00EB5114" w:rsidP="00EB5114">
      <w:pPr>
        <w:ind w:firstLine="720"/>
        <w:jc w:val="both"/>
        <w:rPr>
          <w:rFonts w:ascii="Calibri" w:eastAsia="Times New Roman" w:hAnsi="Calibri" w:cs="Calibri"/>
          <w:color w:val="000000"/>
          <w:sz w:val="22"/>
          <w:szCs w:val="22"/>
        </w:rPr>
      </w:pPr>
    </w:p>
    <w:p w14:paraId="7F36E6C3" w14:textId="77777777" w:rsidR="00EB5114" w:rsidRPr="00EB5114" w:rsidRDefault="00EB5114" w:rsidP="00EB5114">
      <w:pPr>
        <w:ind w:firstLine="720"/>
        <w:jc w:val="both"/>
        <w:rPr>
          <w:rFonts w:ascii="Calibri" w:eastAsia="Times New Roman" w:hAnsi="Calibri" w:cs="Calibri"/>
          <w:color w:val="000000"/>
          <w:sz w:val="22"/>
          <w:szCs w:val="22"/>
        </w:rPr>
      </w:pPr>
    </w:p>
    <w:p w14:paraId="3F31806F" w14:textId="77777777" w:rsidR="00EB5114" w:rsidRDefault="00EB5114" w:rsidP="00EB5114">
      <w:pPr>
        <w:ind w:firstLine="720"/>
        <w:jc w:val="both"/>
        <w:rPr>
          <w:rFonts w:ascii="Calibri" w:eastAsia="Times New Roman" w:hAnsi="Calibri" w:cs="Calibri"/>
          <w:color w:val="000000"/>
          <w:sz w:val="22"/>
          <w:szCs w:val="22"/>
        </w:rPr>
      </w:pPr>
    </w:p>
    <w:p w14:paraId="42BD446F" w14:textId="77777777" w:rsidR="00EB5114" w:rsidRPr="00EB5114" w:rsidRDefault="00EB5114" w:rsidP="00EB5114">
      <w:pPr>
        <w:ind w:firstLine="720"/>
        <w:jc w:val="both"/>
        <w:rPr>
          <w:rFonts w:ascii="Calibri" w:eastAsia="Times New Roman" w:hAnsi="Calibri" w:cs="Calibri"/>
          <w:color w:val="000000"/>
          <w:sz w:val="22"/>
          <w:szCs w:val="22"/>
        </w:rPr>
      </w:pPr>
    </w:p>
    <w:p w14:paraId="7E49AC08" w14:textId="77777777" w:rsidR="00EB5114" w:rsidRDefault="00EB5114" w:rsidP="00EB5114">
      <w:pPr>
        <w:ind w:firstLine="720"/>
        <w:jc w:val="both"/>
        <w:rPr>
          <w:rFonts w:ascii="Calibri" w:eastAsia="Times New Roman" w:hAnsi="Calibri" w:cs="Calibri"/>
          <w:color w:val="000000"/>
          <w:sz w:val="22"/>
          <w:szCs w:val="22"/>
        </w:rPr>
      </w:pPr>
    </w:p>
    <w:p w14:paraId="44A45024" w14:textId="77777777" w:rsidR="00AF514E" w:rsidRPr="00EB5114" w:rsidRDefault="00AF514E" w:rsidP="00EB5114">
      <w:pPr>
        <w:ind w:firstLine="720"/>
        <w:jc w:val="both"/>
        <w:rPr>
          <w:rFonts w:ascii="Calibri" w:eastAsia="Times New Roman" w:hAnsi="Calibri" w:cs="Calibri"/>
          <w:color w:val="000000"/>
          <w:sz w:val="22"/>
          <w:szCs w:val="22"/>
        </w:rPr>
      </w:pPr>
    </w:p>
    <w:p w14:paraId="682173A0" w14:textId="77777777" w:rsidR="00EB5114" w:rsidRPr="00EB5114" w:rsidRDefault="00EB5114" w:rsidP="00EB5114">
      <w:pPr>
        <w:ind w:firstLine="720"/>
        <w:jc w:val="both"/>
        <w:rPr>
          <w:rFonts w:ascii="Calibri" w:eastAsia="Times New Roman" w:hAnsi="Calibri" w:cs="Calibri"/>
          <w:color w:val="000000"/>
          <w:sz w:val="22"/>
          <w:szCs w:val="22"/>
        </w:rPr>
      </w:pPr>
    </w:p>
    <w:tbl>
      <w:tblPr>
        <w:tblW w:w="0" w:type="auto"/>
        <w:tblLook w:val="04A0" w:firstRow="1" w:lastRow="0" w:firstColumn="1" w:lastColumn="0" w:noHBand="0" w:noVBand="1"/>
      </w:tblPr>
      <w:tblGrid>
        <w:gridCol w:w="4484"/>
        <w:gridCol w:w="3912"/>
        <w:gridCol w:w="944"/>
      </w:tblGrid>
      <w:tr w:rsidR="00EB5114" w:rsidRPr="00EB5114" w14:paraId="11B89AF4" w14:textId="77777777" w:rsidTr="00EB5114">
        <w:trPr>
          <w:trHeight w:val="296"/>
        </w:trPr>
        <w:tc>
          <w:tcPr>
            <w:tcW w:w="5186" w:type="dxa"/>
            <w:tcBorders>
              <w:top w:val="single" w:sz="8" w:space="0" w:color="auto"/>
              <w:left w:val="single" w:sz="8" w:space="0" w:color="auto"/>
              <w:bottom w:val="single" w:sz="8" w:space="0" w:color="auto"/>
              <w:right w:val="single" w:sz="8" w:space="0" w:color="auto"/>
            </w:tcBorders>
            <w:shd w:val="clear" w:color="auto" w:fill="BFBFBF"/>
            <w:hideMark/>
          </w:tcPr>
          <w:p w14:paraId="776A2599"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b/>
                <w:bCs/>
                <w:i/>
                <w:iCs/>
                <w:color w:val="000000"/>
                <w:sz w:val="22"/>
                <w:szCs w:val="22"/>
              </w:rPr>
              <w:lastRenderedPageBreak/>
              <w:t>Targeted Opportunity</w:t>
            </w:r>
          </w:p>
        </w:tc>
        <w:tc>
          <w:tcPr>
            <w:tcW w:w="4472" w:type="dxa"/>
            <w:tcBorders>
              <w:top w:val="single" w:sz="8" w:space="0" w:color="auto"/>
              <w:left w:val="nil"/>
              <w:bottom w:val="single" w:sz="8" w:space="0" w:color="auto"/>
              <w:right w:val="single" w:sz="8" w:space="0" w:color="auto"/>
            </w:tcBorders>
            <w:shd w:val="clear" w:color="auto" w:fill="BFBFBF"/>
            <w:hideMark/>
          </w:tcPr>
          <w:p w14:paraId="3E315F62"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b/>
                <w:bCs/>
                <w:i/>
                <w:iCs/>
                <w:color w:val="000000"/>
                <w:sz w:val="22"/>
                <w:szCs w:val="22"/>
              </w:rPr>
              <w:t>Total Amount </w:t>
            </w:r>
          </w:p>
          <w:p w14:paraId="072515BC"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b/>
                <w:bCs/>
                <w:i/>
                <w:iCs/>
                <w:color w:val="000000"/>
                <w:sz w:val="22"/>
                <w:szCs w:val="22"/>
              </w:rPr>
              <w:t>(per year)</w:t>
            </w:r>
          </w:p>
        </w:tc>
        <w:tc>
          <w:tcPr>
            <w:tcW w:w="966" w:type="dxa"/>
            <w:tcBorders>
              <w:top w:val="single" w:sz="8" w:space="0" w:color="auto"/>
              <w:left w:val="nil"/>
              <w:bottom w:val="single" w:sz="8" w:space="0" w:color="auto"/>
              <w:right w:val="single" w:sz="8" w:space="0" w:color="auto"/>
            </w:tcBorders>
            <w:shd w:val="clear" w:color="auto" w:fill="BFBFBF"/>
            <w:hideMark/>
          </w:tcPr>
          <w:p w14:paraId="34BF8CB0" w14:textId="77777777" w:rsidR="00EB5114" w:rsidRPr="00EB5114" w:rsidRDefault="00EB5114">
            <w:pPr>
              <w:spacing w:line="254" w:lineRule="atLeast"/>
              <w:jc w:val="center"/>
              <w:rPr>
                <w:rFonts w:ascii="Calibri" w:eastAsia="Times New Roman" w:hAnsi="Calibri" w:cs="Calibri"/>
                <w:color w:val="000000"/>
                <w:sz w:val="22"/>
                <w:szCs w:val="22"/>
              </w:rPr>
            </w:pPr>
            <w:r w:rsidRPr="00EB5114">
              <w:rPr>
                <w:rFonts w:ascii="Calibri" w:eastAsia="Times New Roman" w:hAnsi="Calibri" w:cs="Calibri"/>
                <w:b/>
                <w:bCs/>
                <w:i/>
                <w:iCs/>
                <w:color w:val="000000"/>
                <w:sz w:val="22"/>
                <w:szCs w:val="22"/>
              </w:rPr>
              <w:t>Award Period</w:t>
            </w:r>
          </w:p>
          <w:p w14:paraId="3385090A" w14:textId="77777777" w:rsidR="00EB5114" w:rsidRPr="00EB5114" w:rsidRDefault="00EB5114">
            <w:pPr>
              <w:spacing w:line="254" w:lineRule="atLeast"/>
              <w:jc w:val="center"/>
              <w:rPr>
                <w:rFonts w:ascii="Calibri" w:eastAsia="Times New Roman" w:hAnsi="Calibri" w:cs="Calibri"/>
                <w:color w:val="000000"/>
                <w:sz w:val="22"/>
                <w:szCs w:val="22"/>
              </w:rPr>
            </w:pPr>
            <w:r w:rsidRPr="00EB5114">
              <w:rPr>
                <w:rFonts w:ascii="Calibri" w:eastAsia="Times New Roman" w:hAnsi="Calibri" w:cs="Calibri"/>
                <w:b/>
                <w:bCs/>
                <w:i/>
                <w:iCs/>
                <w:color w:val="000000"/>
                <w:sz w:val="22"/>
                <w:szCs w:val="22"/>
              </w:rPr>
              <w:t>(years)</w:t>
            </w:r>
          </w:p>
        </w:tc>
      </w:tr>
      <w:tr w:rsidR="00EB5114" w:rsidRPr="00EB5114" w14:paraId="0BEE93E3" w14:textId="77777777" w:rsidTr="00EB5114">
        <w:trPr>
          <w:trHeight w:val="1286"/>
        </w:trPr>
        <w:tc>
          <w:tcPr>
            <w:tcW w:w="5186" w:type="dxa"/>
            <w:tcBorders>
              <w:top w:val="nil"/>
              <w:left w:val="single" w:sz="8" w:space="0" w:color="auto"/>
              <w:bottom w:val="single" w:sz="8" w:space="0" w:color="auto"/>
              <w:right w:val="single" w:sz="8" w:space="0" w:color="auto"/>
            </w:tcBorders>
            <w:hideMark/>
          </w:tcPr>
          <w:p w14:paraId="721D3FB4"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 xml:space="preserve">Carol M. Baldwin Foundation for Breast Cancer Research </w:t>
            </w:r>
            <w:r w:rsidRPr="00EB5114">
              <w:rPr>
                <w:rFonts w:ascii="Calibri" w:eastAsia="Times New Roman" w:hAnsi="Calibri" w:cs="Calibri"/>
                <w:i/>
                <w:iCs/>
                <w:color w:val="000000"/>
                <w:sz w:val="22"/>
                <w:szCs w:val="22"/>
              </w:rPr>
              <w:t>(Awardees must present at the Annual Breast Cancer Retreat. Second-year funds are contingent upon approval by the selected committee)</w:t>
            </w:r>
          </w:p>
        </w:tc>
        <w:tc>
          <w:tcPr>
            <w:tcW w:w="4472" w:type="dxa"/>
            <w:tcBorders>
              <w:top w:val="nil"/>
              <w:left w:val="nil"/>
              <w:bottom w:val="single" w:sz="8" w:space="0" w:color="auto"/>
              <w:right w:val="single" w:sz="8" w:space="0" w:color="auto"/>
            </w:tcBorders>
            <w:hideMark/>
          </w:tcPr>
          <w:p w14:paraId="6721DE04" w14:textId="77777777" w:rsidR="00EB5114" w:rsidRPr="00EB5114" w:rsidRDefault="00EB5114">
            <w:pPr>
              <w:spacing w:line="360"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$35,000 ($25k + $10k match from department)</w:t>
            </w:r>
          </w:p>
        </w:tc>
        <w:tc>
          <w:tcPr>
            <w:tcW w:w="966" w:type="dxa"/>
            <w:tcBorders>
              <w:top w:val="nil"/>
              <w:left w:val="nil"/>
              <w:bottom w:val="single" w:sz="8" w:space="0" w:color="auto"/>
              <w:right w:val="single" w:sz="8" w:space="0" w:color="auto"/>
            </w:tcBorders>
            <w:hideMark/>
          </w:tcPr>
          <w:p w14:paraId="194F2296" w14:textId="77777777" w:rsidR="00EB5114" w:rsidRPr="00EB5114" w:rsidRDefault="00EB5114">
            <w:pPr>
              <w:spacing w:line="360" w:lineRule="atLeast"/>
              <w:jc w:val="center"/>
              <w:rPr>
                <w:rFonts w:ascii="Calibri" w:eastAsia="Times New Roman" w:hAnsi="Calibri" w:cs="Calibri"/>
                <w:color w:val="000000"/>
                <w:sz w:val="22"/>
                <w:szCs w:val="22"/>
              </w:rPr>
            </w:pPr>
            <w:r w:rsidRPr="00EB5114">
              <w:rPr>
                <w:rFonts w:ascii="Calibri" w:eastAsia="Times New Roman" w:hAnsi="Calibri" w:cs="Calibri"/>
                <w:color w:val="000000"/>
                <w:sz w:val="22"/>
                <w:szCs w:val="22"/>
              </w:rPr>
              <w:t>2</w:t>
            </w:r>
          </w:p>
        </w:tc>
      </w:tr>
      <w:tr w:rsidR="00EB5114" w:rsidRPr="00EB5114" w14:paraId="2FABDBD7" w14:textId="77777777" w:rsidTr="00EB5114">
        <w:trPr>
          <w:trHeight w:val="524"/>
        </w:trPr>
        <w:tc>
          <w:tcPr>
            <w:tcW w:w="5186" w:type="dxa"/>
            <w:tcBorders>
              <w:top w:val="nil"/>
              <w:left w:val="single" w:sz="8" w:space="0" w:color="auto"/>
              <w:bottom w:val="single" w:sz="8" w:space="0" w:color="auto"/>
              <w:right w:val="single" w:sz="8" w:space="0" w:color="auto"/>
            </w:tcBorders>
            <w:hideMark/>
          </w:tcPr>
          <w:p w14:paraId="5AAC1234" w14:textId="77777777" w:rsidR="00EB5114" w:rsidRPr="00EB5114" w:rsidRDefault="00EB5114">
            <w:pPr>
              <w:spacing w:line="254" w:lineRule="atLeast"/>
              <w:rPr>
                <w:rFonts w:ascii="Calibri" w:eastAsia="Times New Roman" w:hAnsi="Calibri" w:cs="Calibri"/>
                <w:color w:val="000000"/>
                <w:sz w:val="22"/>
                <w:szCs w:val="22"/>
              </w:rPr>
            </w:pPr>
            <w:proofErr w:type="spellStart"/>
            <w:r w:rsidRPr="00EB5114">
              <w:rPr>
                <w:rFonts w:ascii="Calibri" w:eastAsia="Times New Roman" w:hAnsi="Calibri" w:cs="Calibri"/>
                <w:color w:val="000000"/>
                <w:sz w:val="22"/>
                <w:szCs w:val="22"/>
              </w:rPr>
              <w:t>Catacosinos</w:t>
            </w:r>
            <w:proofErr w:type="spellEnd"/>
            <w:r w:rsidRPr="00EB5114">
              <w:rPr>
                <w:rFonts w:ascii="Calibri" w:eastAsia="Times New Roman" w:hAnsi="Calibri" w:cs="Calibri"/>
                <w:color w:val="000000"/>
                <w:sz w:val="22"/>
                <w:szCs w:val="22"/>
              </w:rPr>
              <w:t xml:space="preserve"> Cancer Translational Researcher Award</w:t>
            </w:r>
          </w:p>
        </w:tc>
        <w:tc>
          <w:tcPr>
            <w:tcW w:w="4472" w:type="dxa"/>
            <w:tcBorders>
              <w:top w:val="nil"/>
              <w:left w:val="nil"/>
              <w:bottom w:val="single" w:sz="8" w:space="0" w:color="auto"/>
              <w:right w:val="single" w:sz="8" w:space="0" w:color="auto"/>
            </w:tcBorders>
            <w:hideMark/>
          </w:tcPr>
          <w:p w14:paraId="16432B36" w14:textId="77777777" w:rsidR="00EB5114" w:rsidRPr="00EB5114" w:rsidRDefault="00EB5114">
            <w:pPr>
              <w:spacing w:line="360"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$30,000 ($25k + 5k match from department)</w:t>
            </w:r>
          </w:p>
        </w:tc>
        <w:tc>
          <w:tcPr>
            <w:tcW w:w="966" w:type="dxa"/>
            <w:tcBorders>
              <w:top w:val="nil"/>
              <w:left w:val="nil"/>
              <w:bottom w:val="single" w:sz="8" w:space="0" w:color="auto"/>
              <w:right w:val="single" w:sz="8" w:space="0" w:color="auto"/>
            </w:tcBorders>
            <w:hideMark/>
          </w:tcPr>
          <w:p w14:paraId="29DD73AF" w14:textId="77777777" w:rsidR="00EB5114" w:rsidRPr="00EB5114" w:rsidRDefault="00EB5114">
            <w:pPr>
              <w:spacing w:line="360" w:lineRule="atLeast"/>
              <w:jc w:val="center"/>
              <w:rPr>
                <w:rFonts w:ascii="Calibri" w:eastAsia="Times New Roman" w:hAnsi="Calibri" w:cs="Calibri"/>
                <w:color w:val="000000"/>
                <w:sz w:val="22"/>
                <w:szCs w:val="22"/>
              </w:rPr>
            </w:pPr>
            <w:r w:rsidRPr="00EB5114">
              <w:rPr>
                <w:rFonts w:ascii="Calibri" w:eastAsia="Times New Roman" w:hAnsi="Calibri" w:cs="Calibri"/>
                <w:color w:val="000000"/>
                <w:sz w:val="22"/>
                <w:szCs w:val="22"/>
              </w:rPr>
              <w:t>1</w:t>
            </w:r>
          </w:p>
        </w:tc>
      </w:tr>
      <w:tr w:rsidR="00EB5114" w:rsidRPr="00EB5114" w14:paraId="20B24140" w14:textId="77777777" w:rsidTr="00EB5114">
        <w:trPr>
          <w:trHeight w:val="375"/>
        </w:trPr>
        <w:tc>
          <w:tcPr>
            <w:tcW w:w="5186" w:type="dxa"/>
            <w:tcBorders>
              <w:top w:val="nil"/>
              <w:left w:val="single" w:sz="8" w:space="0" w:color="auto"/>
              <w:bottom w:val="single" w:sz="8" w:space="0" w:color="auto"/>
              <w:right w:val="single" w:sz="8" w:space="0" w:color="auto"/>
            </w:tcBorders>
            <w:hideMark/>
          </w:tcPr>
          <w:p w14:paraId="6F1D83B8"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VDR Fusion Award</w:t>
            </w:r>
          </w:p>
        </w:tc>
        <w:tc>
          <w:tcPr>
            <w:tcW w:w="4472" w:type="dxa"/>
            <w:tcBorders>
              <w:top w:val="nil"/>
              <w:left w:val="nil"/>
              <w:bottom w:val="single" w:sz="8" w:space="0" w:color="auto"/>
              <w:right w:val="single" w:sz="8" w:space="0" w:color="auto"/>
            </w:tcBorders>
            <w:hideMark/>
          </w:tcPr>
          <w:p w14:paraId="5A532806" w14:textId="77777777" w:rsidR="00EB5114" w:rsidRPr="00EB5114" w:rsidRDefault="00EB5114">
            <w:pPr>
              <w:spacing w:line="360"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$40,000 ($30k + $5k match from each of 2 departments, one basic and one clinical)</w:t>
            </w:r>
          </w:p>
        </w:tc>
        <w:tc>
          <w:tcPr>
            <w:tcW w:w="966" w:type="dxa"/>
            <w:tcBorders>
              <w:top w:val="nil"/>
              <w:left w:val="nil"/>
              <w:bottom w:val="single" w:sz="8" w:space="0" w:color="auto"/>
              <w:right w:val="single" w:sz="8" w:space="0" w:color="auto"/>
            </w:tcBorders>
            <w:hideMark/>
          </w:tcPr>
          <w:p w14:paraId="43334386" w14:textId="77777777" w:rsidR="00EB5114" w:rsidRPr="00EB5114" w:rsidRDefault="00EB5114">
            <w:pPr>
              <w:spacing w:line="360" w:lineRule="atLeast"/>
              <w:jc w:val="center"/>
              <w:rPr>
                <w:rFonts w:ascii="Calibri" w:eastAsia="Times New Roman" w:hAnsi="Calibri" w:cs="Calibri"/>
                <w:color w:val="000000"/>
                <w:sz w:val="22"/>
                <w:szCs w:val="22"/>
              </w:rPr>
            </w:pPr>
            <w:r w:rsidRPr="00EB5114">
              <w:rPr>
                <w:rFonts w:ascii="Calibri" w:eastAsia="Times New Roman" w:hAnsi="Calibri" w:cs="Calibri"/>
                <w:color w:val="000000"/>
                <w:sz w:val="22"/>
                <w:szCs w:val="22"/>
              </w:rPr>
              <w:t>2</w:t>
            </w:r>
          </w:p>
        </w:tc>
      </w:tr>
      <w:tr w:rsidR="00EB5114" w:rsidRPr="00EB5114" w14:paraId="7D279F3E" w14:textId="77777777" w:rsidTr="00EB5114">
        <w:trPr>
          <w:trHeight w:val="375"/>
        </w:trPr>
        <w:tc>
          <w:tcPr>
            <w:tcW w:w="5186" w:type="dxa"/>
            <w:tcBorders>
              <w:top w:val="nil"/>
              <w:left w:val="single" w:sz="8" w:space="0" w:color="auto"/>
              <w:bottom w:val="single" w:sz="8" w:space="0" w:color="auto"/>
              <w:right w:val="single" w:sz="8" w:space="0" w:color="auto"/>
            </w:tcBorders>
            <w:hideMark/>
          </w:tcPr>
          <w:p w14:paraId="717DF85B" w14:textId="77777777" w:rsidR="00EB5114" w:rsidRPr="00EB5114" w:rsidRDefault="00EB5114">
            <w:pPr>
              <w:spacing w:line="254"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VDR AI-Targeted Clinical Research Award</w:t>
            </w:r>
          </w:p>
        </w:tc>
        <w:tc>
          <w:tcPr>
            <w:tcW w:w="4472" w:type="dxa"/>
            <w:tcBorders>
              <w:top w:val="nil"/>
              <w:left w:val="nil"/>
              <w:bottom w:val="single" w:sz="8" w:space="0" w:color="auto"/>
              <w:right w:val="single" w:sz="8" w:space="0" w:color="auto"/>
            </w:tcBorders>
            <w:hideMark/>
          </w:tcPr>
          <w:p w14:paraId="08ADBF89" w14:textId="77777777" w:rsidR="00EB5114" w:rsidRPr="00EB5114" w:rsidRDefault="00EB5114">
            <w:pPr>
              <w:spacing w:line="360" w:lineRule="atLeast"/>
              <w:rPr>
                <w:rFonts w:ascii="Calibri" w:eastAsia="Times New Roman" w:hAnsi="Calibri" w:cs="Calibri"/>
                <w:color w:val="000000"/>
                <w:sz w:val="22"/>
                <w:szCs w:val="22"/>
              </w:rPr>
            </w:pPr>
            <w:r w:rsidRPr="00EB5114">
              <w:rPr>
                <w:rFonts w:ascii="Calibri" w:eastAsia="Times New Roman" w:hAnsi="Calibri" w:cs="Calibri"/>
                <w:color w:val="000000"/>
                <w:sz w:val="22"/>
                <w:szCs w:val="22"/>
              </w:rPr>
              <w:t>$40,000 ($30k + $5-10k from 2 or one department, respectively)</w:t>
            </w:r>
          </w:p>
        </w:tc>
        <w:tc>
          <w:tcPr>
            <w:tcW w:w="966" w:type="dxa"/>
            <w:tcBorders>
              <w:top w:val="nil"/>
              <w:left w:val="nil"/>
              <w:bottom w:val="single" w:sz="8" w:space="0" w:color="auto"/>
              <w:right w:val="single" w:sz="8" w:space="0" w:color="auto"/>
            </w:tcBorders>
            <w:hideMark/>
          </w:tcPr>
          <w:p w14:paraId="0C99A3A5" w14:textId="77777777" w:rsidR="00EB5114" w:rsidRPr="00EB5114" w:rsidRDefault="00EB5114">
            <w:pPr>
              <w:spacing w:line="360" w:lineRule="atLeast"/>
              <w:jc w:val="center"/>
              <w:rPr>
                <w:rFonts w:ascii="Calibri" w:eastAsia="Times New Roman" w:hAnsi="Calibri" w:cs="Calibri"/>
                <w:color w:val="000000"/>
                <w:sz w:val="22"/>
                <w:szCs w:val="22"/>
              </w:rPr>
            </w:pPr>
            <w:r w:rsidRPr="00EB5114">
              <w:rPr>
                <w:rFonts w:ascii="Calibri" w:eastAsia="Times New Roman" w:hAnsi="Calibri" w:cs="Calibri"/>
                <w:color w:val="000000"/>
                <w:sz w:val="22"/>
                <w:szCs w:val="22"/>
              </w:rPr>
              <w:t>2</w:t>
            </w:r>
          </w:p>
        </w:tc>
      </w:tr>
    </w:tbl>
    <w:p w14:paraId="74151777" w14:textId="77777777" w:rsidR="00EB5114" w:rsidRPr="00EB5114" w:rsidRDefault="00EB5114" w:rsidP="00EB5114">
      <w:pPr>
        <w:rPr>
          <w:rFonts w:ascii="Calibri" w:eastAsia="Times New Roman" w:hAnsi="Calibri" w:cs="Calibri"/>
          <w:color w:val="000000"/>
          <w:sz w:val="22"/>
          <w:szCs w:val="22"/>
        </w:rPr>
      </w:pPr>
    </w:p>
    <w:p w14:paraId="68321981" w14:textId="77777777" w:rsidR="00EB5114" w:rsidRPr="00EB5114" w:rsidRDefault="00EB5114" w:rsidP="00EB5114">
      <w:pPr>
        <w:rPr>
          <w:rFonts w:ascii="Calibri" w:eastAsia="Times New Roman" w:hAnsi="Calibri" w:cs="Calibri"/>
          <w:color w:val="000000"/>
          <w:sz w:val="22"/>
          <w:szCs w:val="22"/>
        </w:rPr>
      </w:pPr>
    </w:p>
    <w:p w14:paraId="65094BA5" w14:textId="7E42C444"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b/>
          <w:bCs/>
          <w:color w:val="000000"/>
          <w:sz w:val="22"/>
          <w:szCs w:val="22"/>
        </w:rPr>
        <w:t>Submission Deadline: September 12, 2024 (5:00 PM)</w:t>
      </w:r>
    </w:p>
    <w:p w14:paraId="30A7D45B" w14:textId="77777777" w:rsidR="00EB5114" w:rsidRPr="00EB5114" w:rsidRDefault="00EB5114" w:rsidP="00EB5114">
      <w:pPr>
        <w:rPr>
          <w:rFonts w:ascii="Calibri" w:eastAsia="Times New Roman" w:hAnsi="Calibri" w:cs="Calibri"/>
          <w:color w:val="000000"/>
          <w:sz w:val="22"/>
          <w:szCs w:val="22"/>
        </w:rPr>
      </w:pPr>
      <w:r w:rsidRPr="00EB5114">
        <w:rPr>
          <w:rFonts w:ascii="Calibri" w:eastAsia="Times New Roman" w:hAnsi="Calibri" w:cs="Calibri"/>
          <w:i/>
          <w:iCs/>
          <w:color w:val="000000"/>
          <w:sz w:val="22"/>
          <w:szCs w:val="22"/>
        </w:rPr>
        <w:t>                                                                                                                                                                                   </w:t>
      </w:r>
    </w:p>
    <w:p w14:paraId="318A719D" w14:textId="77777777" w:rsidR="00EB5114" w:rsidRDefault="00EB5114" w:rsidP="00EB5114">
      <w:pPr>
        <w:rPr>
          <w:rFonts w:eastAsia="Times New Roman"/>
          <w:color w:val="000000"/>
          <w:sz w:val="22"/>
          <w:szCs w:val="22"/>
        </w:rPr>
      </w:pPr>
      <w:r w:rsidRPr="00EB5114">
        <w:rPr>
          <w:rFonts w:ascii="Calibri" w:eastAsia="Times New Roman" w:hAnsi="Calibri" w:cs="Calibri"/>
          <w:b/>
          <w:bCs/>
          <w:i/>
          <w:iCs/>
          <w:color w:val="000000"/>
          <w:sz w:val="22"/>
          <w:szCs w:val="22"/>
        </w:rPr>
        <w:t>Further instructions will be provided in the upcoming weeks with a link to submit your application on the Submittable application site</w:t>
      </w:r>
      <w:r>
        <w:rPr>
          <w:rFonts w:eastAsia="Times New Roman"/>
          <w:b/>
          <w:bCs/>
          <w:i/>
          <w:iCs/>
          <w:color w:val="000000"/>
          <w:sz w:val="22"/>
          <w:szCs w:val="22"/>
        </w:rPr>
        <w:t>. </w:t>
      </w:r>
    </w:p>
    <w:p w14:paraId="2735639C" w14:textId="77777777" w:rsidR="00EB5114" w:rsidRDefault="00EB5114" w:rsidP="00EB5114">
      <w:pPr>
        <w:rPr>
          <w:rFonts w:eastAsia="Times New Roman"/>
          <w:color w:val="000000"/>
          <w:sz w:val="22"/>
          <w:szCs w:val="22"/>
        </w:rPr>
      </w:pPr>
      <w:r>
        <w:rPr>
          <w:rFonts w:eastAsia="Times New Roman"/>
          <w:color w:val="000000"/>
          <w:sz w:val="22"/>
          <w:szCs w:val="22"/>
        </w:rPr>
        <w:t> </w:t>
      </w:r>
    </w:p>
    <w:p w14:paraId="463B2DC4" w14:textId="77777777" w:rsidR="00EB5114" w:rsidRDefault="00EB5114" w:rsidP="00EB5114">
      <w:pPr>
        <w:rPr>
          <w:rFonts w:eastAsia="Times New Roman"/>
          <w:color w:val="000000"/>
          <w:sz w:val="22"/>
          <w:szCs w:val="22"/>
        </w:rPr>
      </w:pPr>
    </w:p>
    <w:p w14:paraId="675786BA" w14:textId="77777777" w:rsidR="00EB5114" w:rsidRDefault="00EB5114" w:rsidP="00EB5114">
      <w:pPr>
        <w:pStyle w:val="NormalWeb"/>
        <w:rPr>
          <w:rFonts w:ascii="Calibri" w:hAnsi="Calibri" w:cs="Calibri"/>
        </w:rPr>
      </w:pPr>
      <w:r>
        <w:rPr>
          <w:rFonts w:cs="Calibri"/>
          <w:b/>
          <w:bCs/>
          <w:sz w:val="20"/>
          <w:szCs w:val="20"/>
        </w:rPr>
        <w:t xml:space="preserve">Sue Hedayati, MD, </w:t>
      </w:r>
      <w:proofErr w:type="spellStart"/>
      <w:r>
        <w:rPr>
          <w:rFonts w:cs="Calibri"/>
          <w:b/>
          <w:bCs/>
          <w:sz w:val="20"/>
          <w:szCs w:val="20"/>
        </w:rPr>
        <w:t>MHSc</w:t>
      </w:r>
      <w:proofErr w:type="spellEnd"/>
      <w:r>
        <w:rPr>
          <w:rFonts w:cs="Calibri"/>
          <w:b/>
          <w:bCs/>
          <w:sz w:val="20"/>
          <w:szCs w:val="20"/>
        </w:rPr>
        <w:t xml:space="preserve"> </w:t>
      </w:r>
      <w:r>
        <w:rPr>
          <w:rFonts w:cs="Calibri"/>
          <w:sz w:val="20"/>
          <w:szCs w:val="20"/>
        </w:rPr>
        <w:t>|</w:t>
      </w:r>
      <w:r>
        <w:rPr>
          <w:rFonts w:cs="Calibri"/>
          <w:b/>
          <w:bCs/>
          <w:sz w:val="20"/>
          <w:szCs w:val="20"/>
        </w:rPr>
        <w:t> Vice Dean for Research</w:t>
      </w:r>
    </w:p>
    <w:p w14:paraId="23D87533" w14:textId="77777777" w:rsidR="00EB5114" w:rsidRDefault="00EB5114" w:rsidP="00EB5114">
      <w:pPr>
        <w:pStyle w:val="NormalWeb"/>
        <w:rPr>
          <w:rFonts w:ascii="Calibri" w:hAnsi="Calibri" w:cs="Calibri"/>
        </w:rPr>
      </w:pPr>
      <w:r>
        <w:rPr>
          <w:rFonts w:cs="Calibri"/>
          <w:sz w:val="20"/>
          <w:szCs w:val="20"/>
        </w:rPr>
        <w:t>Professor of Medicine, Division of Nephrology</w:t>
      </w:r>
    </w:p>
    <w:p w14:paraId="4214E105" w14:textId="77777777" w:rsidR="00EB5114" w:rsidRDefault="00EB5114" w:rsidP="00EB5114">
      <w:pPr>
        <w:pStyle w:val="NormalWeb"/>
        <w:rPr>
          <w:rFonts w:ascii="Calibri" w:hAnsi="Calibri" w:cs="Calibri"/>
        </w:rPr>
      </w:pPr>
      <w:r>
        <w:rPr>
          <w:rFonts w:cs="Calibri"/>
          <w:sz w:val="20"/>
          <w:szCs w:val="20"/>
        </w:rPr>
        <w:t>Lina Obeid Chair in Biomedical Sciences</w:t>
      </w:r>
    </w:p>
    <w:p w14:paraId="36095F33" w14:textId="77777777" w:rsidR="00EB5114" w:rsidRDefault="00EB5114" w:rsidP="00EB5114">
      <w:pPr>
        <w:pStyle w:val="NormalWeb"/>
        <w:rPr>
          <w:rFonts w:ascii="Calibri" w:hAnsi="Calibri" w:cs="Calibri"/>
        </w:rPr>
      </w:pPr>
      <w:r>
        <w:rPr>
          <w:rFonts w:cs="Calibri"/>
          <w:sz w:val="20"/>
          <w:szCs w:val="20"/>
        </w:rPr>
        <w:t>Renaissance School of Medicine</w:t>
      </w:r>
    </w:p>
    <w:p w14:paraId="2095EDF6" w14:textId="77777777" w:rsidR="00EB5114" w:rsidRDefault="00EB5114" w:rsidP="00EB5114">
      <w:pPr>
        <w:pStyle w:val="NormalWeb"/>
        <w:rPr>
          <w:rFonts w:ascii="Calibri" w:hAnsi="Calibri" w:cs="Calibri"/>
        </w:rPr>
      </w:pPr>
      <w:r>
        <w:rPr>
          <w:rFonts w:cs="Calibri"/>
          <w:sz w:val="20"/>
          <w:szCs w:val="20"/>
        </w:rPr>
        <w:t>Stony Brook University, Health Sciences Center 4</w:t>
      </w:r>
    </w:p>
    <w:p w14:paraId="32D6C651" w14:textId="77777777" w:rsidR="00EB5114" w:rsidRDefault="00EB5114" w:rsidP="00EB5114">
      <w:pPr>
        <w:pStyle w:val="NormalWeb"/>
        <w:rPr>
          <w:rFonts w:ascii="Calibri" w:hAnsi="Calibri" w:cs="Calibri"/>
        </w:rPr>
      </w:pPr>
      <w:r>
        <w:rPr>
          <w:rFonts w:cs="Calibri"/>
          <w:sz w:val="20"/>
          <w:szCs w:val="20"/>
        </w:rPr>
        <w:t>Stony Brook, New York 11794-8430</w:t>
      </w:r>
    </w:p>
    <w:p w14:paraId="10BAAA80" w14:textId="0325FE77" w:rsidR="00EB5114" w:rsidRPr="00AF514E" w:rsidRDefault="00EB5114" w:rsidP="00AF514E">
      <w:pPr>
        <w:pStyle w:val="NormalWeb"/>
        <w:rPr>
          <w:rFonts w:ascii="Calibri" w:hAnsi="Calibri" w:cs="Calibri"/>
          <w:sz w:val="22"/>
          <w:szCs w:val="22"/>
        </w:rPr>
      </w:pPr>
      <w:r>
        <w:rPr>
          <w:rFonts w:ascii="Calibri" w:hAnsi="Calibri" w:cs="Calibri"/>
          <w:sz w:val="22"/>
          <w:szCs w:val="22"/>
        </w:rPr>
        <w:t> </w:t>
      </w:r>
      <w:bookmarkEnd w:id="0"/>
    </w:p>
    <w:sectPr w:rsidR="00EB5114" w:rsidRPr="00AF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10691"/>
    <w:multiLevelType w:val="multilevel"/>
    <w:tmpl w:val="10722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43AB8"/>
    <w:multiLevelType w:val="multilevel"/>
    <w:tmpl w:val="DFB6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E34FC"/>
    <w:multiLevelType w:val="multilevel"/>
    <w:tmpl w:val="B336A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85D5A"/>
    <w:multiLevelType w:val="multilevel"/>
    <w:tmpl w:val="0176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4440740">
    <w:abstractNumId w:val="2"/>
  </w:num>
  <w:num w:numId="2" w16cid:durableId="700399539">
    <w:abstractNumId w:val="1"/>
  </w:num>
  <w:num w:numId="3" w16cid:durableId="1306853518">
    <w:abstractNumId w:val="3"/>
  </w:num>
  <w:num w:numId="4" w16cid:durableId="489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14"/>
    <w:rsid w:val="007C0EDE"/>
    <w:rsid w:val="007E4BB5"/>
    <w:rsid w:val="00AF514E"/>
    <w:rsid w:val="00C57D76"/>
    <w:rsid w:val="00EB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A05"/>
  <w15:chartTrackingRefBased/>
  <w15:docId w15:val="{F1E527D6-32B3-45B3-95DA-002439F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1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B5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1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1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1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1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114"/>
    <w:rPr>
      <w:rFonts w:eastAsiaTheme="majorEastAsia" w:cstheme="majorBidi"/>
      <w:color w:val="272727" w:themeColor="text1" w:themeTint="D8"/>
    </w:rPr>
  </w:style>
  <w:style w:type="paragraph" w:styleId="Title">
    <w:name w:val="Title"/>
    <w:basedOn w:val="Normal"/>
    <w:next w:val="Normal"/>
    <w:link w:val="TitleChar"/>
    <w:uiPriority w:val="10"/>
    <w:qFormat/>
    <w:rsid w:val="00EB5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114"/>
    <w:pPr>
      <w:spacing w:before="160"/>
      <w:jc w:val="center"/>
    </w:pPr>
    <w:rPr>
      <w:i/>
      <w:iCs/>
      <w:color w:val="404040" w:themeColor="text1" w:themeTint="BF"/>
    </w:rPr>
  </w:style>
  <w:style w:type="character" w:customStyle="1" w:styleId="QuoteChar">
    <w:name w:val="Quote Char"/>
    <w:basedOn w:val="DefaultParagraphFont"/>
    <w:link w:val="Quote"/>
    <w:uiPriority w:val="29"/>
    <w:rsid w:val="00EB5114"/>
    <w:rPr>
      <w:i/>
      <w:iCs/>
      <w:color w:val="404040" w:themeColor="text1" w:themeTint="BF"/>
    </w:rPr>
  </w:style>
  <w:style w:type="paragraph" w:styleId="ListParagraph">
    <w:name w:val="List Paragraph"/>
    <w:basedOn w:val="Normal"/>
    <w:uiPriority w:val="34"/>
    <w:qFormat/>
    <w:rsid w:val="00EB5114"/>
    <w:pPr>
      <w:ind w:left="720"/>
      <w:contextualSpacing/>
    </w:pPr>
  </w:style>
  <w:style w:type="character" w:styleId="IntenseEmphasis">
    <w:name w:val="Intense Emphasis"/>
    <w:basedOn w:val="DefaultParagraphFont"/>
    <w:uiPriority w:val="21"/>
    <w:qFormat/>
    <w:rsid w:val="00EB5114"/>
    <w:rPr>
      <w:i/>
      <w:iCs/>
      <w:color w:val="0F4761" w:themeColor="accent1" w:themeShade="BF"/>
    </w:rPr>
  </w:style>
  <w:style w:type="paragraph" w:styleId="IntenseQuote">
    <w:name w:val="Intense Quote"/>
    <w:basedOn w:val="Normal"/>
    <w:next w:val="Normal"/>
    <w:link w:val="IntenseQuoteChar"/>
    <w:uiPriority w:val="30"/>
    <w:qFormat/>
    <w:rsid w:val="00EB5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114"/>
    <w:rPr>
      <w:i/>
      <w:iCs/>
      <w:color w:val="0F4761" w:themeColor="accent1" w:themeShade="BF"/>
    </w:rPr>
  </w:style>
  <w:style w:type="character" w:styleId="IntenseReference">
    <w:name w:val="Intense Reference"/>
    <w:basedOn w:val="DefaultParagraphFont"/>
    <w:uiPriority w:val="32"/>
    <w:qFormat/>
    <w:rsid w:val="00EB5114"/>
    <w:rPr>
      <w:b/>
      <w:bCs/>
      <w:smallCaps/>
      <w:color w:val="0F4761" w:themeColor="accent1" w:themeShade="BF"/>
      <w:spacing w:val="5"/>
    </w:rPr>
  </w:style>
  <w:style w:type="paragraph" w:styleId="NormalWeb">
    <w:name w:val="Normal (Web)"/>
    <w:basedOn w:val="Normal"/>
    <w:uiPriority w:val="99"/>
    <w:unhideWhenUsed/>
    <w:rsid w:val="00EB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9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Francesca</dc:creator>
  <cp:keywords/>
  <dc:description/>
  <cp:lastModifiedBy>Gaetano, Francesca</cp:lastModifiedBy>
  <cp:revision>2</cp:revision>
  <dcterms:created xsi:type="dcterms:W3CDTF">2024-07-19T18:11:00Z</dcterms:created>
  <dcterms:modified xsi:type="dcterms:W3CDTF">2024-07-19T18:43:00Z</dcterms:modified>
</cp:coreProperties>
</file>