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20" w:rsidRDefault="003C6A1C">
      <w:pPr>
        <w:rPr>
          <w:rFonts w:ascii="Century Gothic" w:hAnsi="Century Gothic"/>
          <w:sz w:val="24"/>
          <w:szCs w:val="24"/>
        </w:rPr>
      </w:pPr>
      <w:r w:rsidRPr="003C6A1C">
        <w:rPr>
          <w:rFonts w:ascii="Century Gothic" w:hAnsi="Century Gothic"/>
          <w:sz w:val="24"/>
          <w:szCs w:val="24"/>
        </w:rPr>
        <w:t xml:space="preserve">To </w:t>
      </w:r>
      <w:r>
        <w:rPr>
          <w:rFonts w:ascii="Century Gothic" w:hAnsi="Century Gothic"/>
          <w:sz w:val="24"/>
          <w:szCs w:val="24"/>
        </w:rPr>
        <w:t xml:space="preserve">assist researchers in the creation of standard proposal material The Office of Clinical Award Administration created templates </w:t>
      </w:r>
      <w:r w:rsidR="001677EF">
        <w:rPr>
          <w:rFonts w:ascii="Century Gothic" w:hAnsi="Century Gothic"/>
          <w:sz w:val="24"/>
          <w:szCs w:val="24"/>
        </w:rPr>
        <w:t>for</w:t>
      </w:r>
      <w:r>
        <w:rPr>
          <w:rFonts w:ascii="Century Gothic" w:hAnsi="Century Gothic"/>
          <w:sz w:val="24"/>
          <w:szCs w:val="24"/>
        </w:rPr>
        <w:t xml:space="preserve"> information commonly required in the submission process.  </w:t>
      </w:r>
    </w:p>
    <w:p w:rsidR="00EF4BC1" w:rsidRDefault="00EF4BC1">
      <w:pPr>
        <w:rPr>
          <w:rFonts w:ascii="Century Gothic" w:hAnsi="Century Gothic"/>
          <w:sz w:val="24"/>
          <w:szCs w:val="24"/>
        </w:rPr>
      </w:pPr>
    </w:p>
    <w:p w:rsidR="001677EF" w:rsidRDefault="001677EF" w:rsidP="001677EF">
      <w:pPr>
        <w:jc w:val="center"/>
        <w:rPr>
          <w:rFonts w:ascii="Century Gothic" w:hAnsi="Century Gothic"/>
          <w:b/>
          <w:sz w:val="24"/>
          <w:szCs w:val="24"/>
        </w:rPr>
      </w:pPr>
      <w:r w:rsidRPr="001677EF">
        <w:rPr>
          <w:rFonts w:ascii="Century Gothic" w:hAnsi="Century Gothic"/>
          <w:b/>
          <w:sz w:val="24"/>
          <w:szCs w:val="24"/>
        </w:rPr>
        <w:t>Facilities and other Resources</w:t>
      </w:r>
    </w:p>
    <w:p w:rsidR="001677EF" w:rsidRPr="001677EF" w:rsidRDefault="001677EF" w:rsidP="001677EF">
      <w:pPr>
        <w:jc w:val="center"/>
        <w:rPr>
          <w:rFonts w:ascii="Century Gothic" w:hAnsi="Century Gothic"/>
          <w:b/>
          <w:sz w:val="24"/>
          <w:szCs w:val="24"/>
        </w:rPr>
      </w:pPr>
      <w:r>
        <w:rPr>
          <w:rFonts w:ascii="Century Gothic" w:hAnsi="Century Gothic"/>
          <w:b/>
          <w:sz w:val="24"/>
          <w:szCs w:val="24"/>
        </w:rPr>
        <w:t xml:space="preserve">School of Medicine Core Facilities </w:t>
      </w:r>
    </w:p>
    <w:p w:rsidR="005C676F" w:rsidRDefault="003C6A1C">
      <w:pPr>
        <w:rPr>
          <w:rFonts w:ascii="Century Gothic" w:hAnsi="Century Gothic"/>
          <w:sz w:val="24"/>
          <w:szCs w:val="24"/>
        </w:rPr>
      </w:pPr>
      <w:r>
        <w:rPr>
          <w:rFonts w:ascii="Century Gothic" w:hAnsi="Century Gothic"/>
          <w:sz w:val="24"/>
          <w:szCs w:val="24"/>
        </w:rPr>
        <w:t xml:space="preserve">The School of Medicine offers </w:t>
      </w:r>
      <w:r w:rsidR="005C676F">
        <w:rPr>
          <w:rFonts w:ascii="Century Gothic" w:hAnsi="Century Gothic"/>
          <w:sz w:val="24"/>
          <w:szCs w:val="24"/>
        </w:rPr>
        <w:t>18</w:t>
      </w:r>
      <w:r>
        <w:rPr>
          <w:rFonts w:ascii="Century Gothic" w:hAnsi="Century Gothic"/>
          <w:sz w:val="24"/>
          <w:szCs w:val="24"/>
        </w:rPr>
        <w:t xml:space="preserve"> different fee for service Core Facilities. </w:t>
      </w:r>
      <w:r w:rsidR="005C676F">
        <w:rPr>
          <w:rFonts w:ascii="Century Gothic" w:hAnsi="Century Gothic"/>
          <w:sz w:val="24"/>
          <w:szCs w:val="24"/>
        </w:rPr>
        <w:t>Below are short descriptions of each that can be included in your facilities statements:</w:t>
      </w:r>
    </w:p>
    <w:p w:rsidR="005C676F" w:rsidRPr="009A4369" w:rsidRDefault="005C676F" w:rsidP="005C676F">
      <w:pPr>
        <w:rPr>
          <w:rFonts w:ascii="Century Gothic" w:hAnsi="Century Gothic" w:cstheme="minorHAnsi"/>
          <w:b/>
          <w:sz w:val="24"/>
          <w:szCs w:val="24"/>
        </w:rPr>
      </w:pPr>
    </w:p>
    <w:p w:rsidR="005C676F" w:rsidRPr="009A4369" w:rsidRDefault="005C676F" w:rsidP="005C676F">
      <w:pPr>
        <w:jc w:val="center"/>
        <w:rPr>
          <w:rFonts w:ascii="Century Gothic" w:hAnsi="Century Gothic" w:cstheme="minorHAnsi"/>
          <w:sz w:val="24"/>
          <w:szCs w:val="24"/>
        </w:rPr>
      </w:pPr>
      <w:proofErr w:type="spellStart"/>
      <w:r w:rsidRPr="009A4369">
        <w:rPr>
          <w:rFonts w:ascii="Century Gothic" w:hAnsi="Century Gothic" w:cstheme="minorHAnsi"/>
          <w:b/>
          <w:sz w:val="24"/>
          <w:szCs w:val="24"/>
        </w:rPr>
        <w:t>BioBank</w:t>
      </w:r>
      <w:proofErr w:type="spellEnd"/>
    </w:p>
    <w:p w:rsidR="005C676F" w:rsidRDefault="005C676F" w:rsidP="005C676F">
      <w:pPr>
        <w:rPr>
          <w:rFonts w:ascii="Century Gothic" w:eastAsia="Times New Roman" w:hAnsi="Century Gothic" w:cs="Arial"/>
          <w:color w:val="000000"/>
          <w:sz w:val="24"/>
          <w:szCs w:val="24"/>
          <w:shd w:val="clear" w:color="auto" w:fill="FFFFFF"/>
        </w:rPr>
      </w:pPr>
      <w:r w:rsidRPr="009A4369">
        <w:rPr>
          <w:rFonts w:ascii="Century Gothic" w:eastAsia="Times New Roman" w:hAnsi="Century Gothic" w:cs="Arial"/>
          <w:color w:val="000000"/>
          <w:sz w:val="24"/>
          <w:szCs w:val="24"/>
          <w:shd w:val="clear" w:color="auto" w:fill="FFFFFF"/>
        </w:rPr>
        <w:t xml:space="preserve">The Stony Brook Medicine Biobank is a core facility within the School of Medicine. The Biobank provides biological specimens, and associated clinical data, collected under informed consent to Stony Brook researchers and their collaborators. Banking of </w:t>
      </w:r>
      <w:proofErr w:type="spellStart"/>
      <w:r w:rsidRPr="009A4369">
        <w:rPr>
          <w:rFonts w:ascii="Century Gothic" w:eastAsia="Times New Roman" w:hAnsi="Century Gothic" w:cs="Arial"/>
          <w:color w:val="000000"/>
          <w:sz w:val="24"/>
          <w:szCs w:val="24"/>
          <w:shd w:val="clear" w:color="auto" w:fill="FFFFFF"/>
        </w:rPr>
        <w:t>biospecimens</w:t>
      </w:r>
      <w:proofErr w:type="spellEnd"/>
      <w:r w:rsidRPr="009A4369">
        <w:rPr>
          <w:rFonts w:ascii="Century Gothic" w:eastAsia="Times New Roman" w:hAnsi="Century Gothic" w:cs="Arial"/>
          <w:color w:val="000000"/>
          <w:sz w:val="24"/>
          <w:szCs w:val="24"/>
          <w:shd w:val="clear" w:color="auto" w:fill="FFFFFF"/>
        </w:rPr>
        <w:t xml:space="preserve"> is performed in a state-of-the-art, dedicated laboratory to ensure complete molecular and morphological integrity.  </w:t>
      </w:r>
    </w:p>
    <w:p w:rsidR="005C676F" w:rsidRPr="009A4369" w:rsidRDefault="005C676F" w:rsidP="005C676F">
      <w:pPr>
        <w:rPr>
          <w:rFonts w:ascii="Century Gothic" w:eastAsia="Times New Roman" w:hAnsi="Century Gothic" w:cs="Arial"/>
          <w:sz w:val="24"/>
          <w:szCs w:val="24"/>
        </w:rPr>
      </w:pPr>
      <w:r w:rsidRPr="009A4369">
        <w:rPr>
          <w:rFonts w:ascii="Century Gothic" w:eastAsia="Times New Roman" w:hAnsi="Century Gothic" w:cs="Arial"/>
          <w:bCs/>
          <w:color w:val="000000"/>
          <w:sz w:val="24"/>
          <w:szCs w:val="24"/>
          <w:shd w:val="clear" w:color="auto" w:fill="FFFFFF"/>
        </w:rPr>
        <w:t>The Biobank stores normal and malignant specimens including tissue samples, bodily fluids, and other biomaterial under liquid nitrogen vapor phase at -185°C. This method of cryogenic storage allows for better cell preservation than -80°C freezing. In addition, the Biobank controls access to the entire archival collection of H&amp;E slides and formalin fixed paraffin embedded (FFPE) tissue blocks from all pathology diagnostic cases done at Stony Brook University Hospital.</w:t>
      </w:r>
      <w:r w:rsidRPr="009A4369">
        <w:rPr>
          <w:rFonts w:ascii="Century Gothic" w:eastAsia="Times New Roman" w:hAnsi="Century Gothic" w:cs="Arial"/>
          <w:b/>
          <w:bCs/>
          <w:color w:val="000000"/>
          <w:sz w:val="24"/>
          <w:szCs w:val="24"/>
          <w:shd w:val="clear" w:color="auto" w:fill="FFFFFF"/>
        </w:rPr>
        <w:t xml:space="preserve">  </w:t>
      </w:r>
      <w:r w:rsidRPr="009A4369">
        <w:rPr>
          <w:rFonts w:ascii="Century Gothic" w:eastAsia="Times New Roman" w:hAnsi="Century Gothic" w:cs="Arial"/>
          <w:color w:val="000000"/>
          <w:sz w:val="24"/>
          <w:szCs w:val="24"/>
          <w:shd w:val="clear" w:color="auto" w:fill="FFFFFF"/>
        </w:rPr>
        <w:t>This collection of clinical specimens (more than half a million cases) is a valuable resource for investigators to determine protein and/or RNA expression in diseased tissue and correlate those findings with morphological and clinical data.</w:t>
      </w:r>
    </w:p>
    <w:p w:rsidR="005C676F" w:rsidRPr="009A4369" w:rsidRDefault="005C676F" w:rsidP="005C676F">
      <w:pPr>
        <w:spacing w:before="180" w:after="180" w:line="288" w:lineRule="atLeast"/>
        <w:jc w:val="center"/>
        <w:outlineLvl w:val="0"/>
        <w:rPr>
          <w:rFonts w:ascii="Century Gothic" w:eastAsia="Times New Roman" w:hAnsi="Century Gothic" w:cstheme="minorHAnsi"/>
          <w:b/>
          <w:bCs/>
          <w:color w:val="000000"/>
          <w:kern w:val="36"/>
          <w:sz w:val="24"/>
          <w:szCs w:val="24"/>
        </w:rPr>
      </w:pPr>
      <w:r w:rsidRPr="009A4369">
        <w:rPr>
          <w:rFonts w:ascii="Century Gothic" w:eastAsia="Times New Roman" w:hAnsi="Century Gothic" w:cstheme="minorHAnsi"/>
          <w:b/>
          <w:bCs/>
          <w:color w:val="000000"/>
          <w:kern w:val="36"/>
          <w:sz w:val="24"/>
          <w:szCs w:val="24"/>
        </w:rPr>
        <w:t>Biological Mass Spectrometry</w:t>
      </w:r>
    </w:p>
    <w:p w:rsidR="005C676F" w:rsidRPr="009A4369" w:rsidRDefault="005C676F" w:rsidP="005C676F">
      <w:pPr>
        <w:spacing w:before="240" w:after="240"/>
        <w:rPr>
          <w:rFonts w:ascii="Century Gothic" w:eastAsia="Times New Roman" w:hAnsi="Century Gothic" w:cstheme="minorHAnsi"/>
          <w:sz w:val="24"/>
          <w:szCs w:val="24"/>
        </w:rPr>
      </w:pPr>
      <w:r w:rsidRPr="009A4369">
        <w:rPr>
          <w:rFonts w:ascii="Century Gothic" w:eastAsia="Times New Roman" w:hAnsi="Century Gothic" w:cstheme="minorHAnsi"/>
          <w:sz w:val="24"/>
          <w:szCs w:val="24"/>
        </w:rPr>
        <w:t xml:space="preserve">The Biological Mass Spectrometry Shared Resource provides expertise in discovery and quantitative proteomics, metabolomics, and </w:t>
      </w:r>
      <w:proofErr w:type="spellStart"/>
      <w:r w:rsidRPr="009A4369">
        <w:rPr>
          <w:rFonts w:ascii="Century Gothic" w:eastAsia="Times New Roman" w:hAnsi="Century Gothic" w:cstheme="minorHAnsi"/>
          <w:sz w:val="24"/>
          <w:szCs w:val="24"/>
        </w:rPr>
        <w:t>lipidomics</w:t>
      </w:r>
      <w:proofErr w:type="spellEnd"/>
      <w:r w:rsidRPr="009A4369">
        <w:rPr>
          <w:rFonts w:ascii="Century Gothic" w:eastAsia="Times New Roman" w:hAnsi="Century Gothic" w:cstheme="minorHAnsi"/>
          <w:sz w:val="24"/>
          <w:szCs w:val="24"/>
        </w:rPr>
        <w:t>.</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Proteomics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Discovery and targeted proteomics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Identification and quantitation of post-translational modifications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Protein/peptide quantitation approaches using </w:t>
      </w:r>
      <w:proofErr w:type="spellStart"/>
      <w:r w:rsidRPr="009A4369">
        <w:rPr>
          <w:rFonts w:ascii="Century Gothic" w:eastAsia="Times New Roman" w:hAnsi="Century Gothic" w:cstheme="minorHAnsi"/>
          <w:color w:val="000000"/>
          <w:sz w:val="24"/>
          <w:szCs w:val="24"/>
        </w:rPr>
        <w:t>iTRAQ</w:t>
      </w:r>
      <w:proofErr w:type="spellEnd"/>
      <w:r w:rsidRPr="009A4369">
        <w:rPr>
          <w:rFonts w:ascii="Century Gothic" w:eastAsia="Times New Roman" w:hAnsi="Century Gothic" w:cstheme="minorHAnsi"/>
          <w:color w:val="000000"/>
          <w:sz w:val="24"/>
          <w:szCs w:val="24"/>
        </w:rPr>
        <w:t>, SILAC, and cl-ICAT</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lastRenderedPageBreak/>
        <w:t>Full service proteomics and small molecule analysis from sample preparation through biological interpretation</w:t>
      </w:r>
    </w:p>
    <w:p w:rsidR="005C676F" w:rsidRPr="008030B2" w:rsidRDefault="005C676F" w:rsidP="005C676F">
      <w:pPr>
        <w:spacing w:before="180" w:after="180" w:line="288" w:lineRule="atLeast"/>
        <w:ind w:left="1080"/>
        <w:jc w:val="center"/>
        <w:outlineLvl w:val="0"/>
        <w:rPr>
          <w:rFonts w:ascii="Century Gothic" w:eastAsia="Times New Roman" w:hAnsi="Century Gothic" w:cstheme="minorHAnsi"/>
          <w:bCs/>
          <w:color w:val="000000"/>
          <w:kern w:val="36"/>
          <w:sz w:val="24"/>
          <w:szCs w:val="24"/>
        </w:rPr>
      </w:pPr>
      <w:r w:rsidRPr="008030B2">
        <w:rPr>
          <w:rFonts w:ascii="Century Gothic" w:eastAsia="Times New Roman" w:hAnsi="Century Gothic" w:cstheme="minorHAnsi"/>
          <w:bCs/>
          <w:color w:val="000000"/>
          <w:kern w:val="36"/>
          <w:sz w:val="24"/>
          <w:szCs w:val="24"/>
        </w:rPr>
        <w:t xml:space="preserve">Instrumentation for </w:t>
      </w:r>
      <w:proofErr w:type="spellStart"/>
      <w:r w:rsidRPr="008030B2">
        <w:rPr>
          <w:rFonts w:ascii="Century Gothic" w:eastAsia="Times New Roman" w:hAnsi="Century Gothic" w:cstheme="minorHAnsi"/>
          <w:bCs/>
          <w:color w:val="000000"/>
          <w:kern w:val="36"/>
          <w:sz w:val="24"/>
          <w:szCs w:val="24"/>
        </w:rPr>
        <w:t>Protemics</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Thermo</w:t>
      </w:r>
      <w:proofErr w:type="spellEnd"/>
      <w:r w:rsidRPr="009A4369">
        <w:rPr>
          <w:rFonts w:ascii="Century Gothic" w:eastAsia="Times New Roman" w:hAnsi="Century Gothic" w:cstheme="minorHAnsi"/>
          <w:sz w:val="24"/>
          <w:szCs w:val="24"/>
        </w:rPr>
        <w:t xml:space="preserve"> LTQ-</w:t>
      </w:r>
      <w:proofErr w:type="spellStart"/>
      <w:r w:rsidRPr="009A4369">
        <w:rPr>
          <w:rFonts w:ascii="Century Gothic" w:eastAsia="Times New Roman" w:hAnsi="Century Gothic" w:cstheme="minorHAnsi"/>
          <w:sz w:val="24"/>
          <w:szCs w:val="24"/>
        </w:rPr>
        <w:t>OrbiXL</w:t>
      </w:r>
      <w:proofErr w:type="spellEnd"/>
      <w:r w:rsidRPr="009A4369">
        <w:rPr>
          <w:rFonts w:ascii="Century Gothic" w:eastAsia="Times New Roman" w:hAnsi="Century Gothic" w:cstheme="minorHAnsi"/>
          <w:sz w:val="24"/>
          <w:szCs w:val="24"/>
        </w:rPr>
        <w:t xml:space="preserve"> – </w:t>
      </w:r>
      <w:proofErr w:type="spellStart"/>
      <w:r w:rsidRPr="009A4369">
        <w:rPr>
          <w:rFonts w:ascii="Century Gothic" w:eastAsia="Times New Roman" w:hAnsi="Century Gothic" w:cstheme="minorHAnsi"/>
          <w:sz w:val="24"/>
          <w:szCs w:val="24"/>
        </w:rPr>
        <w:t>orbitrap</w:t>
      </w:r>
      <w:proofErr w:type="spellEnd"/>
      <w:r w:rsidRPr="009A4369">
        <w:rPr>
          <w:rFonts w:ascii="Century Gothic" w:eastAsia="Times New Roman" w:hAnsi="Century Gothic" w:cstheme="minorHAnsi"/>
          <w:sz w:val="24"/>
          <w:szCs w:val="24"/>
        </w:rPr>
        <w:t xml:space="preserve">; with </w:t>
      </w:r>
      <w:proofErr w:type="spellStart"/>
      <w:r w:rsidRPr="009A4369">
        <w:rPr>
          <w:rFonts w:ascii="Century Gothic" w:eastAsia="Times New Roman" w:hAnsi="Century Gothic" w:cstheme="minorHAnsi"/>
          <w:sz w:val="24"/>
          <w:szCs w:val="24"/>
        </w:rPr>
        <w:t>nanoHPLC</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Sciex</w:t>
      </w:r>
      <w:proofErr w:type="spellEnd"/>
      <w:r w:rsidRPr="009A4369">
        <w:rPr>
          <w:rFonts w:ascii="Century Gothic" w:eastAsia="Times New Roman" w:hAnsi="Century Gothic" w:cstheme="minorHAnsi"/>
          <w:sz w:val="24"/>
          <w:szCs w:val="24"/>
        </w:rPr>
        <w:t xml:space="preserve"> 5600Plus – quadrupole time-of-flight (</w:t>
      </w:r>
      <w:proofErr w:type="spellStart"/>
      <w:r w:rsidRPr="009A4369">
        <w:rPr>
          <w:rFonts w:ascii="Century Gothic" w:eastAsia="Times New Roman" w:hAnsi="Century Gothic" w:cstheme="minorHAnsi"/>
          <w:sz w:val="24"/>
          <w:szCs w:val="24"/>
        </w:rPr>
        <w:t>QqTOF</w:t>
      </w:r>
      <w:proofErr w:type="spellEnd"/>
      <w:r w:rsidRPr="009A4369">
        <w:rPr>
          <w:rFonts w:ascii="Century Gothic" w:eastAsia="Times New Roman" w:hAnsi="Century Gothic" w:cstheme="minorHAnsi"/>
          <w:sz w:val="24"/>
          <w:szCs w:val="24"/>
        </w:rPr>
        <w:t xml:space="preserve">); with </w:t>
      </w:r>
      <w:proofErr w:type="spellStart"/>
      <w:r w:rsidRPr="009A4369">
        <w:rPr>
          <w:rFonts w:ascii="Century Gothic" w:eastAsia="Times New Roman" w:hAnsi="Century Gothic" w:cstheme="minorHAnsi"/>
          <w:sz w:val="24"/>
          <w:szCs w:val="24"/>
        </w:rPr>
        <w:t>nanoHPLC</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Thermo</w:t>
      </w:r>
      <w:proofErr w:type="spellEnd"/>
      <w:r w:rsidRPr="009A4369">
        <w:rPr>
          <w:rFonts w:ascii="Century Gothic" w:eastAsia="Times New Roman" w:hAnsi="Century Gothic" w:cstheme="minorHAnsi"/>
          <w:sz w:val="24"/>
          <w:szCs w:val="24"/>
        </w:rPr>
        <w:t xml:space="preserve"> LTQ linear ion trap; with HPLC</w:t>
      </w:r>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r w:rsidRPr="009A4369">
        <w:rPr>
          <w:rFonts w:ascii="Century Gothic" w:eastAsia="Times New Roman" w:hAnsi="Century Gothic" w:cstheme="minorHAnsi"/>
          <w:sz w:val="24"/>
          <w:szCs w:val="24"/>
        </w:rPr>
        <w:t>AB/</w:t>
      </w:r>
      <w:proofErr w:type="spellStart"/>
      <w:r w:rsidRPr="009A4369">
        <w:rPr>
          <w:rFonts w:ascii="Century Gothic" w:eastAsia="Times New Roman" w:hAnsi="Century Gothic" w:cstheme="minorHAnsi"/>
          <w:sz w:val="24"/>
          <w:szCs w:val="24"/>
        </w:rPr>
        <w:t>Sciex</w:t>
      </w:r>
      <w:proofErr w:type="spellEnd"/>
      <w:r w:rsidRPr="009A4369">
        <w:rPr>
          <w:rFonts w:ascii="Century Gothic" w:eastAsia="Times New Roman" w:hAnsi="Century Gothic" w:cstheme="minorHAnsi"/>
          <w:sz w:val="24"/>
          <w:szCs w:val="24"/>
        </w:rPr>
        <w:t xml:space="preserve"> Voyager STR MALDI – laser desorption mass spectrometer</w:t>
      </w:r>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lang w:val="fr-FR"/>
        </w:rPr>
      </w:pPr>
      <w:proofErr w:type="spellStart"/>
      <w:r w:rsidRPr="009A4369">
        <w:rPr>
          <w:rFonts w:ascii="Century Gothic" w:eastAsia="Times New Roman" w:hAnsi="Century Gothic" w:cstheme="minorHAnsi"/>
          <w:sz w:val="24"/>
          <w:szCs w:val="24"/>
          <w:lang w:val="fr-FR"/>
        </w:rPr>
        <w:t>BiaCore</w:t>
      </w:r>
      <w:proofErr w:type="spellEnd"/>
      <w:r w:rsidRPr="009A4369">
        <w:rPr>
          <w:rFonts w:ascii="Century Gothic" w:eastAsia="Times New Roman" w:hAnsi="Century Gothic" w:cstheme="minorHAnsi"/>
          <w:sz w:val="24"/>
          <w:szCs w:val="24"/>
          <w:lang w:val="fr-FR"/>
        </w:rPr>
        <w:t xml:space="preserve"> Surface </w:t>
      </w:r>
      <w:proofErr w:type="spellStart"/>
      <w:r w:rsidRPr="009A4369">
        <w:rPr>
          <w:rFonts w:ascii="Century Gothic" w:eastAsia="Times New Roman" w:hAnsi="Century Gothic" w:cstheme="minorHAnsi"/>
          <w:sz w:val="24"/>
          <w:szCs w:val="24"/>
          <w:lang w:val="fr-FR"/>
        </w:rPr>
        <w:t>Plasmon</w:t>
      </w:r>
      <w:proofErr w:type="spellEnd"/>
      <w:r w:rsidRPr="009A4369">
        <w:rPr>
          <w:rFonts w:ascii="Century Gothic" w:eastAsia="Times New Roman" w:hAnsi="Century Gothic" w:cstheme="minorHAnsi"/>
          <w:sz w:val="24"/>
          <w:szCs w:val="24"/>
          <w:lang w:val="fr-FR"/>
        </w:rPr>
        <w:t xml:space="preserve"> </w:t>
      </w:r>
      <w:proofErr w:type="spellStart"/>
      <w:r w:rsidRPr="009A4369">
        <w:rPr>
          <w:rFonts w:ascii="Century Gothic" w:eastAsia="Times New Roman" w:hAnsi="Century Gothic" w:cstheme="minorHAnsi"/>
          <w:sz w:val="24"/>
          <w:szCs w:val="24"/>
          <w:lang w:val="fr-FR"/>
        </w:rPr>
        <w:t>Resonance</w:t>
      </w:r>
      <w:proofErr w:type="spellEnd"/>
      <w:r w:rsidRPr="009A4369">
        <w:rPr>
          <w:rFonts w:ascii="Century Gothic" w:eastAsia="Times New Roman" w:hAnsi="Century Gothic" w:cstheme="minorHAnsi"/>
          <w:sz w:val="24"/>
          <w:szCs w:val="24"/>
          <w:lang w:val="fr-FR"/>
        </w:rPr>
        <w:t xml:space="preserve"> (SPR) T200</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b/>
          <w:bCs/>
          <w:color w:val="000000"/>
          <w:sz w:val="24"/>
          <w:szCs w:val="24"/>
        </w:rPr>
        <w:t>Lipidomics</w:t>
      </w:r>
      <w:proofErr w:type="spellEnd"/>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Analysis of multiple lipid classes, notably sphingolipids and ceramides</w:t>
      </w:r>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Large-cohort quantitative analysis is possible by use of internal 13C labeled standards</w:t>
      </w:r>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Discovery </w:t>
      </w:r>
      <w:proofErr w:type="spellStart"/>
      <w:r w:rsidRPr="009A4369">
        <w:rPr>
          <w:rFonts w:ascii="Century Gothic" w:eastAsia="Times New Roman" w:hAnsi="Century Gothic" w:cstheme="minorHAnsi"/>
          <w:color w:val="000000"/>
          <w:sz w:val="24"/>
          <w:szCs w:val="24"/>
        </w:rPr>
        <w:t>lipidomics</w:t>
      </w:r>
      <w:proofErr w:type="spellEnd"/>
      <w:r w:rsidRPr="009A4369">
        <w:rPr>
          <w:rFonts w:ascii="Century Gothic" w:eastAsia="Times New Roman" w:hAnsi="Century Gothic" w:cstheme="minorHAnsi"/>
          <w:color w:val="000000"/>
          <w:sz w:val="24"/>
          <w:szCs w:val="24"/>
        </w:rPr>
        <w:t xml:space="preserve"> now in place with new full-scan mass spectrometry instrumentation and multi-channel HPLC</w:t>
      </w:r>
    </w:p>
    <w:p w:rsidR="005C676F" w:rsidRPr="008030B2" w:rsidRDefault="005C676F" w:rsidP="005C676F">
      <w:pPr>
        <w:shd w:val="clear" w:color="auto" w:fill="FFFFFF"/>
        <w:spacing w:before="100" w:beforeAutospacing="1" w:after="100" w:afterAutospacing="1"/>
        <w:ind w:left="360"/>
        <w:jc w:val="center"/>
        <w:rPr>
          <w:rFonts w:ascii="Century Gothic" w:eastAsia="Times New Roman" w:hAnsi="Century Gothic" w:cstheme="minorHAnsi"/>
          <w:color w:val="000000"/>
          <w:sz w:val="24"/>
          <w:szCs w:val="24"/>
        </w:rPr>
      </w:pPr>
      <w:r w:rsidRPr="008030B2">
        <w:rPr>
          <w:rFonts w:ascii="Century Gothic" w:eastAsia="Times New Roman" w:hAnsi="Century Gothic" w:cstheme="minorHAnsi"/>
          <w:color w:val="000000"/>
          <w:sz w:val="24"/>
          <w:szCs w:val="24"/>
        </w:rPr>
        <w:t xml:space="preserve">Instrumentation for </w:t>
      </w:r>
      <w:proofErr w:type="spellStart"/>
      <w:r w:rsidRPr="008030B2">
        <w:rPr>
          <w:rFonts w:ascii="Century Gothic" w:eastAsia="Times New Roman" w:hAnsi="Century Gothic" w:cstheme="minorHAnsi"/>
          <w:color w:val="000000"/>
          <w:sz w:val="24"/>
          <w:szCs w:val="24"/>
        </w:rPr>
        <w:t>Lipidomics</w:t>
      </w:r>
      <w:proofErr w:type="spellEnd"/>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w:t>
      </w:r>
      <w:proofErr w:type="spellStart"/>
      <w:r w:rsidRPr="009A4369">
        <w:rPr>
          <w:rFonts w:ascii="Century Gothic" w:eastAsia="Times New Roman" w:hAnsi="Century Gothic" w:cstheme="minorHAnsi"/>
          <w:color w:val="000000"/>
          <w:sz w:val="24"/>
          <w:szCs w:val="24"/>
        </w:rPr>
        <w:t>Quantiva</w:t>
      </w:r>
      <w:proofErr w:type="spellEnd"/>
      <w:r w:rsidRPr="009A4369">
        <w:rPr>
          <w:rFonts w:ascii="Century Gothic" w:eastAsia="Times New Roman" w:hAnsi="Century Gothic" w:cstheme="minorHAnsi"/>
          <w:color w:val="000000"/>
          <w:sz w:val="24"/>
          <w:szCs w:val="24"/>
        </w:rPr>
        <w:t xml:space="preserve"> - triple quadrupole with </w:t>
      </w:r>
      <w:proofErr w:type="spellStart"/>
      <w:r w:rsidRPr="009A4369">
        <w:rPr>
          <w:rFonts w:ascii="Century Gothic" w:eastAsia="Times New Roman" w:hAnsi="Century Gothic" w:cstheme="minorHAnsi"/>
          <w:color w:val="000000"/>
          <w:sz w:val="24"/>
          <w:szCs w:val="24"/>
        </w:rPr>
        <w:t>uHPLC</w:t>
      </w:r>
      <w:proofErr w:type="spellEnd"/>
      <w:r w:rsidRPr="009A4369">
        <w:rPr>
          <w:rFonts w:ascii="Century Gothic" w:eastAsia="Times New Roman" w:hAnsi="Century Gothic" w:cstheme="minorHAnsi"/>
          <w:color w:val="000000"/>
          <w:sz w:val="24"/>
          <w:szCs w:val="24"/>
        </w:rPr>
        <w:t xml:space="preserve"> (Vanquish)</w:t>
      </w:r>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Agilent </w:t>
      </w:r>
      <w:proofErr w:type="spellStart"/>
      <w:r w:rsidRPr="009A4369">
        <w:rPr>
          <w:rFonts w:ascii="Century Gothic" w:eastAsia="Times New Roman" w:hAnsi="Century Gothic" w:cstheme="minorHAnsi"/>
          <w:color w:val="000000"/>
          <w:sz w:val="24"/>
          <w:szCs w:val="24"/>
        </w:rPr>
        <w:t>QqTOF</w:t>
      </w:r>
      <w:proofErr w:type="spellEnd"/>
      <w:r w:rsidRPr="009A4369">
        <w:rPr>
          <w:rFonts w:ascii="Century Gothic" w:eastAsia="Times New Roman" w:hAnsi="Century Gothic" w:cstheme="minorHAnsi"/>
          <w:color w:val="000000"/>
          <w:sz w:val="24"/>
          <w:szCs w:val="24"/>
        </w:rPr>
        <w:t xml:space="preserve"> with HPLC (VA [1])</w:t>
      </w:r>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Quantum Ultra – triple quadrupole with HPLC [2]</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Metabolomics</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Multiple targeted GC- and LC- mass spectrometry platforms covering a range of metabolic pathways</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Analysis of both steady-state levels and metabolic reaction rates (flux)</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Recent staff and equipment additions have added full-scan / discovery metabolomics for LC- mass spec</w:t>
      </w:r>
    </w:p>
    <w:p w:rsidR="005C676F" w:rsidRPr="008030B2"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8030B2">
        <w:rPr>
          <w:rFonts w:ascii="Century Gothic" w:eastAsia="Times New Roman" w:hAnsi="Century Gothic" w:cstheme="minorHAnsi"/>
          <w:bCs/>
          <w:color w:val="000000"/>
          <w:sz w:val="24"/>
          <w:szCs w:val="24"/>
        </w:rPr>
        <w:t xml:space="preserve">Instrumentation for </w:t>
      </w:r>
      <w:proofErr w:type="spellStart"/>
      <w:r w:rsidRPr="008030B2">
        <w:rPr>
          <w:rFonts w:ascii="Century Gothic" w:eastAsia="Times New Roman" w:hAnsi="Century Gothic" w:cstheme="minorHAnsi"/>
          <w:bCs/>
          <w:color w:val="000000"/>
          <w:sz w:val="24"/>
          <w:szCs w:val="24"/>
        </w:rPr>
        <w:t>Metabolomic</w:t>
      </w:r>
      <w:proofErr w:type="spellEnd"/>
      <w:r w:rsidRPr="008030B2">
        <w:rPr>
          <w:rFonts w:ascii="Century Gothic" w:eastAsia="Times New Roman" w:hAnsi="Century Gothic" w:cstheme="minorHAnsi"/>
          <w:bCs/>
          <w:color w:val="000000"/>
          <w:sz w:val="24"/>
          <w:szCs w:val="24"/>
        </w:rPr>
        <w:t xml:space="preserve"> analysis</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Agilent </w:t>
      </w:r>
      <w:proofErr w:type="spellStart"/>
      <w:r w:rsidRPr="009A4369">
        <w:rPr>
          <w:rFonts w:ascii="Century Gothic" w:eastAsia="Times New Roman" w:hAnsi="Century Gothic" w:cstheme="minorHAnsi"/>
          <w:color w:val="000000"/>
          <w:sz w:val="24"/>
          <w:szCs w:val="24"/>
        </w:rPr>
        <w:t>QqTOF</w:t>
      </w:r>
      <w:proofErr w:type="spellEnd"/>
      <w:r w:rsidRPr="009A4369">
        <w:rPr>
          <w:rFonts w:ascii="Century Gothic" w:eastAsia="Times New Roman" w:hAnsi="Century Gothic" w:cstheme="minorHAnsi"/>
          <w:color w:val="000000"/>
          <w:sz w:val="24"/>
          <w:szCs w:val="24"/>
        </w:rPr>
        <w:t xml:space="preserve"> with HPLC (VA)</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Agilent triple quadrupole with HPLC</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SeaHorse</w:t>
      </w:r>
      <w:proofErr w:type="spellEnd"/>
      <w:r w:rsidRPr="009A4369">
        <w:rPr>
          <w:rFonts w:ascii="Century Gothic" w:eastAsia="Times New Roman" w:hAnsi="Century Gothic" w:cstheme="minorHAnsi"/>
          <w:color w:val="000000"/>
          <w:sz w:val="24"/>
          <w:szCs w:val="24"/>
        </w:rPr>
        <w:t>, NOVA, GC-MS, robotic sample prep, hypoxia chambers</w:t>
      </w:r>
    </w:p>
    <w:p w:rsidR="005C676F" w:rsidRPr="009A4369" w:rsidRDefault="005C676F" w:rsidP="005C676F">
      <w:pPr>
        <w:pStyle w:val="NormalWeb"/>
        <w:shd w:val="clear" w:color="auto" w:fill="FFFFFF"/>
        <w:spacing w:before="240" w:beforeAutospacing="0" w:after="240" w:afterAutospacing="0"/>
        <w:ind w:left="720"/>
        <w:jc w:val="center"/>
        <w:rPr>
          <w:rFonts w:ascii="Century Gothic" w:hAnsi="Century Gothic" w:cstheme="minorHAnsi"/>
          <w:color w:val="000000"/>
        </w:rPr>
      </w:pPr>
      <w:r w:rsidRPr="009A4369">
        <w:rPr>
          <w:rFonts w:ascii="Century Gothic" w:hAnsi="Century Gothic" w:cstheme="minorHAnsi"/>
          <w:b/>
        </w:rPr>
        <w:t>Additional Instrumentation for</w:t>
      </w:r>
      <w:r w:rsidRPr="009A4369">
        <w:rPr>
          <w:rFonts w:ascii="Century Gothic" w:hAnsi="Century Gothic" w:cstheme="minorHAnsi"/>
        </w:rPr>
        <w:t xml:space="preserve"> </w:t>
      </w:r>
      <w:r w:rsidRPr="009A4369">
        <w:rPr>
          <w:rFonts w:ascii="Century Gothic" w:hAnsi="Century Gothic" w:cstheme="minorHAnsi"/>
          <w:b/>
          <w:bCs/>
          <w:color w:val="000000"/>
        </w:rPr>
        <w:t>Pharmacokinetics, Small molecule and nucleic acid analysis</w:t>
      </w:r>
    </w:p>
    <w:p w:rsidR="005C676F" w:rsidRPr="009A4369" w:rsidRDefault="005C676F" w:rsidP="005C676F">
      <w:pPr>
        <w:numPr>
          <w:ilvl w:val="0"/>
          <w:numId w:val="7"/>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Quantum Access MAX – triple quadrupole with HPLC</w:t>
      </w:r>
    </w:p>
    <w:p w:rsidR="005C676F" w:rsidRPr="009A4369" w:rsidRDefault="005C676F" w:rsidP="005C676F">
      <w:pPr>
        <w:numPr>
          <w:ilvl w:val="0"/>
          <w:numId w:val="7"/>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AB/</w:t>
      </w:r>
      <w:proofErr w:type="spellStart"/>
      <w:r w:rsidRPr="009A4369">
        <w:rPr>
          <w:rFonts w:ascii="Century Gothic" w:eastAsia="Times New Roman" w:hAnsi="Century Gothic" w:cstheme="minorHAnsi"/>
          <w:color w:val="000000"/>
          <w:sz w:val="24"/>
          <w:szCs w:val="24"/>
        </w:rPr>
        <w:t>Sciex</w:t>
      </w:r>
      <w:proofErr w:type="spellEnd"/>
      <w:r w:rsidRPr="009A4369">
        <w:rPr>
          <w:rFonts w:ascii="Century Gothic" w:eastAsia="Times New Roman" w:hAnsi="Century Gothic" w:cstheme="minorHAnsi"/>
          <w:color w:val="000000"/>
          <w:sz w:val="24"/>
          <w:szCs w:val="24"/>
        </w:rPr>
        <w:t xml:space="preserve"> Voyager STR MALDI – laser desorption mass spectrometer</w:t>
      </w:r>
    </w:p>
    <w:p w:rsidR="005C676F" w:rsidRDefault="005C676F">
      <w:pPr>
        <w:rPr>
          <w:rFonts w:ascii="Century Gothic" w:hAnsi="Century Gothic"/>
          <w:sz w:val="24"/>
          <w:szCs w:val="24"/>
        </w:rPr>
      </w:pPr>
      <w:r>
        <w:rPr>
          <w:rFonts w:ascii="Century Gothic" w:hAnsi="Century Gothic"/>
          <w:sz w:val="24"/>
          <w:szCs w:val="24"/>
        </w:rPr>
        <w:lastRenderedPageBreak/>
        <w:t xml:space="preserve"> </w:t>
      </w:r>
    </w:p>
    <w:p w:rsidR="005C676F" w:rsidRDefault="005C676F" w:rsidP="005C676F">
      <w:pPr>
        <w:spacing w:before="180" w:after="180" w:line="288" w:lineRule="atLeast"/>
        <w:ind w:left="360"/>
        <w:jc w:val="center"/>
        <w:outlineLvl w:val="0"/>
        <w:rPr>
          <w:rFonts w:ascii="Century Gothic" w:eastAsia="Times New Roman" w:hAnsi="Century Gothic" w:cstheme="minorHAnsi"/>
          <w:b/>
          <w:bCs/>
          <w:color w:val="000000"/>
          <w:kern w:val="36"/>
          <w:sz w:val="24"/>
          <w:szCs w:val="24"/>
        </w:rPr>
      </w:pPr>
      <w:proofErr w:type="spellStart"/>
      <w:r w:rsidRPr="009A4369">
        <w:rPr>
          <w:rFonts w:ascii="Century Gothic" w:eastAsia="Times New Roman" w:hAnsi="Century Gothic" w:cstheme="minorHAnsi"/>
          <w:b/>
          <w:bCs/>
          <w:color w:val="000000"/>
          <w:kern w:val="36"/>
          <w:sz w:val="24"/>
          <w:szCs w:val="24"/>
        </w:rPr>
        <w:t>Biostatistical</w:t>
      </w:r>
      <w:proofErr w:type="spellEnd"/>
      <w:r w:rsidRPr="009A4369">
        <w:rPr>
          <w:rFonts w:ascii="Century Gothic" w:eastAsia="Times New Roman" w:hAnsi="Century Gothic" w:cstheme="minorHAnsi"/>
          <w:b/>
          <w:bCs/>
          <w:color w:val="000000"/>
          <w:kern w:val="36"/>
          <w:sz w:val="24"/>
          <w:szCs w:val="24"/>
        </w:rPr>
        <w:t xml:space="preserve"> Consulting Core</w:t>
      </w:r>
    </w:p>
    <w:p w:rsidR="005C676F" w:rsidRDefault="005C676F" w:rsidP="005C676F">
      <w:pPr>
        <w:spacing w:before="180" w:after="180" w:line="288" w:lineRule="atLeast"/>
        <w:ind w:left="360"/>
        <w:outlineLvl w:val="0"/>
        <w:rPr>
          <w:rFonts w:ascii="Century Gothic" w:hAnsi="Century Gothic" w:cs="Arial"/>
          <w:color w:val="222222"/>
          <w:sz w:val="24"/>
          <w:szCs w:val="24"/>
          <w:shd w:val="clear" w:color="auto" w:fill="FFFFFF"/>
        </w:rPr>
      </w:pPr>
      <w:r w:rsidRPr="009A4369">
        <w:rPr>
          <w:rFonts w:ascii="Century Gothic" w:hAnsi="Century Gothic" w:cs="Arial"/>
          <w:color w:val="000000"/>
          <w:sz w:val="24"/>
          <w:szCs w:val="24"/>
          <w:shd w:val="clear" w:color="auto" w:fill="FFFFFF"/>
        </w:rPr>
        <w:t xml:space="preserve">The </w:t>
      </w:r>
      <w:proofErr w:type="spellStart"/>
      <w:r w:rsidRPr="009A4369">
        <w:rPr>
          <w:rFonts w:ascii="Century Gothic" w:hAnsi="Century Gothic" w:cs="Arial"/>
          <w:color w:val="000000"/>
          <w:sz w:val="24"/>
          <w:szCs w:val="24"/>
          <w:shd w:val="clear" w:color="auto" w:fill="FFFFFF"/>
        </w:rPr>
        <w:t>Biostatistical</w:t>
      </w:r>
      <w:proofErr w:type="spellEnd"/>
      <w:r w:rsidRPr="009A4369">
        <w:rPr>
          <w:rFonts w:ascii="Century Gothic" w:hAnsi="Century Gothic" w:cs="Arial"/>
          <w:color w:val="000000"/>
          <w:sz w:val="24"/>
          <w:szCs w:val="24"/>
          <w:shd w:val="clear" w:color="auto" w:fill="FFFFFF"/>
        </w:rPr>
        <w:t xml:space="preserve"> Consulting Core (BCC) </w:t>
      </w:r>
      <w:r w:rsidRPr="009A4369">
        <w:rPr>
          <w:rFonts w:ascii="Century Gothic" w:hAnsi="Century Gothic" w:cs="Arial"/>
          <w:sz w:val="24"/>
          <w:szCs w:val="24"/>
        </w:rPr>
        <w:t xml:space="preserve">aims to meet the increasing demand and serve the </w:t>
      </w:r>
      <w:proofErr w:type="spellStart"/>
      <w:r w:rsidRPr="009A4369">
        <w:rPr>
          <w:rFonts w:ascii="Century Gothic" w:hAnsi="Century Gothic" w:cs="Arial"/>
          <w:sz w:val="24"/>
          <w:szCs w:val="24"/>
        </w:rPr>
        <w:t>biostatistical</w:t>
      </w:r>
      <w:proofErr w:type="spellEnd"/>
      <w:r w:rsidRPr="009A4369">
        <w:rPr>
          <w:rFonts w:ascii="Century Gothic" w:hAnsi="Century Gothic" w:cs="Arial"/>
          <w:sz w:val="24"/>
          <w:szCs w:val="24"/>
        </w:rPr>
        <w:t xml:space="preserve"> needs in Stony Brook Medicine by providing </w:t>
      </w:r>
      <w:proofErr w:type="spellStart"/>
      <w:r w:rsidRPr="009A4369">
        <w:rPr>
          <w:rFonts w:ascii="Century Gothic" w:hAnsi="Century Gothic" w:cs="Arial"/>
          <w:sz w:val="24"/>
          <w:szCs w:val="24"/>
        </w:rPr>
        <w:t>biostatistical</w:t>
      </w:r>
      <w:proofErr w:type="spellEnd"/>
      <w:r w:rsidRPr="009A4369">
        <w:rPr>
          <w:rFonts w:ascii="Century Gothic" w:hAnsi="Century Gothic" w:cs="Arial"/>
          <w:sz w:val="24"/>
          <w:szCs w:val="24"/>
        </w:rPr>
        <w:t xml:space="preserve"> consultation, collaboration, education and support for all aspects of a research endeavor. </w:t>
      </w:r>
      <w:r w:rsidRPr="009A4369">
        <w:rPr>
          <w:rFonts w:ascii="Century Gothic" w:hAnsi="Century Gothic" w:cs="Arial"/>
          <w:color w:val="222222"/>
          <w:sz w:val="24"/>
          <w:szCs w:val="24"/>
          <w:shd w:val="clear" w:color="auto" w:fill="FFFFFF"/>
        </w:rPr>
        <w:t>The BCC is one of 1</w:t>
      </w:r>
      <w:r>
        <w:rPr>
          <w:rFonts w:ascii="Century Gothic" w:hAnsi="Century Gothic" w:cs="Arial"/>
          <w:color w:val="222222"/>
          <w:sz w:val="24"/>
          <w:szCs w:val="24"/>
          <w:shd w:val="clear" w:color="auto" w:fill="FFFFFF"/>
        </w:rPr>
        <w:t xml:space="preserve">8 </w:t>
      </w:r>
      <w:r w:rsidRPr="009A4369">
        <w:rPr>
          <w:rFonts w:ascii="Century Gothic" w:hAnsi="Century Gothic" w:cs="Arial"/>
          <w:color w:val="222222"/>
          <w:sz w:val="24"/>
          <w:szCs w:val="24"/>
          <w:shd w:val="clear" w:color="auto" w:fill="FFFFFF"/>
        </w:rPr>
        <w:t xml:space="preserve">core facilities under Office of Scientific Affairs at the School of Medicine. It is located in the Department of Family, Population and Preventive Medicine, School of Medicine. The core has two faculty members with PhD in Statistics and five master level biostatisticians.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The services provided by our core include: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1. General </w:t>
      </w:r>
      <w:proofErr w:type="spellStart"/>
      <w:r w:rsidRPr="009A4369">
        <w:rPr>
          <w:rFonts w:ascii="Century Gothic" w:hAnsi="Century Gothic" w:cs="Arial"/>
          <w:color w:val="222222"/>
          <w:sz w:val="24"/>
          <w:szCs w:val="24"/>
          <w:shd w:val="clear" w:color="auto" w:fill="FFFFFF"/>
        </w:rPr>
        <w:t>biostatistical</w:t>
      </w:r>
      <w:proofErr w:type="spellEnd"/>
      <w:r w:rsidRPr="009A4369">
        <w:rPr>
          <w:rFonts w:ascii="Century Gothic" w:hAnsi="Century Gothic" w:cs="Arial"/>
          <w:color w:val="222222"/>
          <w:sz w:val="24"/>
          <w:szCs w:val="24"/>
          <w:shd w:val="clear" w:color="auto" w:fill="FFFFFF"/>
        </w:rPr>
        <w:t xml:space="preserve"> consultation ranging from clinical trial/experiment design to statistical data analysis;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2. </w:t>
      </w:r>
      <w:proofErr w:type="spellStart"/>
      <w:r w:rsidRPr="009A4369">
        <w:rPr>
          <w:rFonts w:ascii="Century Gothic" w:hAnsi="Century Gothic" w:cs="Arial"/>
          <w:color w:val="222222"/>
          <w:sz w:val="24"/>
          <w:szCs w:val="24"/>
          <w:shd w:val="clear" w:color="auto" w:fill="FFFFFF"/>
        </w:rPr>
        <w:t>Biostatistical</w:t>
      </w:r>
      <w:proofErr w:type="spellEnd"/>
      <w:r w:rsidRPr="009A4369">
        <w:rPr>
          <w:rFonts w:ascii="Century Gothic" w:hAnsi="Century Gothic" w:cs="Arial"/>
          <w:color w:val="222222"/>
          <w:sz w:val="24"/>
          <w:szCs w:val="24"/>
          <w:shd w:val="clear" w:color="auto" w:fill="FFFFFF"/>
        </w:rPr>
        <w:t> assistance in grant preparation from formulating the study hypotheses to writing the statistical analysis plan;</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 3. Statistical short courses or workshops.</w:t>
      </w:r>
    </w:p>
    <w:p w:rsidR="005C676F" w:rsidRDefault="005C676F" w:rsidP="005C676F">
      <w:pPr>
        <w:spacing w:before="180" w:after="180" w:line="288" w:lineRule="atLeast"/>
        <w:ind w:left="36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Our core currently has grant support from NIH PPG, NIH R01, NIH R21, </w:t>
      </w:r>
      <w:proofErr w:type="gramStart"/>
      <w:r w:rsidRPr="009A4369">
        <w:rPr>
          <w:rFonts w:ascii="Century Gothic" w:hAnsi="Century Gothic" w:cs="Arial"/>
          <w:color w:val="222222"/>
          <w:sz w:val="24"/>
          <w:szCs w:val="24"/>
          <w:shd w:val="clear" w:color="auto" w:fill="FFFFFF"/>
        </w:rPr>
        <w:t>DoD</w:t>
      </w:r>
      <w:proofErr w:type="gramEnd"/>
      <w:r w:rsidRPr="009A4369">
        <w:rPr>
          <w:rFonts w:ascii="Century Gothic" w:hAnsi="Century Gothic" w:cs="Arial"/>
          <w:color w:val="222222"/>
          <w:sz w:val="24"/>
          <w:szCs w:val="24"/>
          <w:shd w:val="clear" w:color="auto" w:fill="FFFFFF"/>
        </w:rPr>
        <w:t xml:space="preserve"> and other internal grants. Since 2016, our core members co</w:t>
      </w:r>
      <w:r>
        <w:rPr>
          <w:rFonts w:ascii="Century Gothic" w:hAnsi="Century Gothic" w:cs="Arial"/>
          <w:color w:val="222222"/>
          <w:sz w:val="24"/>
          <w:szCs w:val="24"/>
          <w:shd w:val="clear" w:color="auto" w:fill="FFFFFF"/>
        </w:rPr>
        <w:t>-</w:t>
      </w:r>
      <w:r w:rsidRPr="009A4369">
        <w:rPr>
          <w:rFonts w:ascii="Century Gothic" w:hAnsi="Century Gothic" w:cs="Arial"/>
          <w:color w:val="222222"/>
          <w:sz w:val="24"/>
          <w:szCs w:val="24"/>
          <w:shd w:val="clear" w:color="auto" w:fill="FFFFFF"/>
        </w:rPr>
        <w:t xml:space="preserve">authored </w:t>
      </w:r>
      <w:r>
        <w:rPr>
          <w:rFonts w:ascii="Century Gothic" w:hAnsi="Century Gothic" w:cs="Arial"/>
          <w:color w:val="222222"/>
          <w:sz w:val="24"/>
          <w:szCs w:val="24"/>
          <w:shd w:val="clear" w:color="auto" w:fill="FFFFFF"/>
        </w:rPr>
        <w:t xml:space="preserve">approximately </w:t>
      </w:r>
      <w:r w:rsidRPr="009A4369">
        <w:rPr>
          <w:rFonts w:ascii="Century Gothic" w:hAnsi="Century Gothic" w:cs="Arial"/>
          <w:color w:val="222222"/>
          <w:sz w:val="24"/>
          <w:szCs w:val="24"/>
          <w:shd w:val="clear" w:color="auto" w:fill="FFFFFF"/>
        </w:rPr>
        <w:t xml:space="preserve">20 published </w:t>
      </w:r>
      <w:r>
        <w:rPr>
          <w:rFonts w:ascii="Century Gothic" w:hAnsi="Century Gothic" w:cs="Arial"/>
          <w:color w:val="222222"/>
          <w:sz w:val="24"/>
          <w:szCs w:val="24"/>
          <w:shd w:val="clear" w:color="auto" w:fill="FFFFFF"/>
        </w:rPr>
        <w:t xml:space="preserve">articles </w:t>
      </w:r>
      <w:r w:rsidRPr="009A4369">
        <w:rPr>
          <w:rFonts w:ascii="Century Gothic" w:hAnsi="Century Gothic" w:cs="Arial"/>
          <w:color w:val="222222"/>
          <w:sz w:val="24"/>
          <w:szCs w:val="24"/>
          <w:shd w:val="clear" w:color="auto" w:fill="FFFFFF"/>
        </w:rPr>
        <w:t xml:space="preserve">and 20 presented meeting abstracts every year.  Our core has six working desktops (Dell Precision T1700 mini Tower with </w:t>
      </w:r>
      <w:r w:rsidRPr="009A4369">
        <w:rPr>
          <w:rFonts w:ascii="Century Gothic" w:hAnsi="Century Gothic" w:cs="Arial"/>
          <w:color w:val="000000"/>
          <w:sz w:val="24"/>
          <w:szCs w:val="24"/>
        </w:rPr>
        <w:t xml:space="preserve">Intel® Xeon® Processor E3-1220 v3 (Quad Core, 3.10GHz Turbo, 8MB) and </w:t>
      </w:r>
      <w:r w:rsidRPr="009A4369">
        <w:rPr>
          <w:rFonts w:ascii="Century Gothic" w:hAnsi="Century Gothic" w:cs="Arial"/>
          <w:color w:val="222222"/>
          <w:sz w:val="24"/>
          <w:szCs w:val="24"/>
          <w:shd w:val="clear" w:color="auto" w:fill="FFFFFF"/>
        </w:rPr>
        <w:t xml:space="preserve">16GB memory) and one computing server (Dell T710 Tower with Intel 56XX Processors and 48GHz RAM). The statistical software installed on these computers includes SAS 9.3, JMP, R, SPSS 19, STATA 13, PASS 12, and </w:t>
      </w:r>
      <w:proofErr w:type="spellStart"/>
      <w:r w:rsidRPr="009A4369">
        <w:rPr>
          <w:rFonts w:ascii="Century Gothic" w:hAnsi="Century Gothic" w:cs="Arial"/>
          <w:color w:val="222222"/>
          <w:sz w:val="24"/>
          <w:szCs w:val="24"/>
          <w:shd w:val="clear" w:color="auto" w:fill="FFFFFF"/>
        </w:rPr>
        <w:t>StatXact</w:t>
      </w:r>
      <w:proofErr w:type="spellEnd"/>
      <w:r w:rsidRPr="009A4369">
        <w:rPr>
          <w:rFonts w:ascii="Century Gothic" w:hAnsi="Century Gothic" w:cs="Arial"/>
          <w:color w:val="222222"/>
          <w:sz w:val="24"/>
          <w:szCs w:val="24"/>
          <w:shd w:val="clear" w:color="auto" w:fill="FFFFFF"/>
        </w:rPr>
        <w:t xml:space="preserve">. </w:t>
      </w:r>
    </w:p>
    <w:p w:rsidR="005C676F" w:rsidRPr="009A4369" w:rsidRDefault="005C676F" w:rsidP="005C676F">
      <w:pPr>
        <w:spacing w:before="180" w:after="180" w:line="288" w:lineRule="atLeast"/>
        <w:ind w:left="360"/>
        <w:outlineLvl w:val="0"/>
        <w:rPr>
          <w:rFonts w:ascii="Century Gothic" w:hAnsi="Century Gothic" w:cs="Arial"/>
          <w:sz w:val="24"/>
          <w:szCs w:val="24"/>
        </w:rPr>
      </w:pPr>
      <w:r w:rsidRPr="009A4369">
        <w:rPr>
          <w:rFonts w:ascii="Century Gothic" w:hAnsi="Century Gothic" w:cs="Arial"/>
          <w:color w:val="222222"/>
          <w:sz w:val="24"/>
          <w:szCs w:val="24"/>
          <w:shd w:val="clear" w:color="auto" w:fill="FFFFFF"/>
        </w:rPr>
        <w:t xml:space="preserve">There is more statistical/computational software available in Virtual </w:t>
      </w:r>
      <w:proofErr w:type="spellStart"/>
      <w:r w:rsidRPr="009A4369">
        <w:rPr>
          <w:rFonts w:ascii="Century Gothic" w:hAnsi="Century Gothic" w:cs="Arial"/>
          <w:color w:val="222222"/>
          <w:sz w:val="24"/>
          <w:szCs w:val="24"/>
          <w:shd w:val="clear" w:color="auto" w:fill="FFFFFF"/>
        </w:rPr>
        <w:t>Sinc</w:t>
      </w:r>
      <w:proofErr w:type="spellEnd"/>
      <w:r w:rsidRPr="009A4369">
        <w:rPr>
          <w:rFonts w:ascii="Century Gothic" w:hAnsi="Century Gothic" w:cs="Arial"/>
          <w:color w:val="222222"/>
          <w:sz w:val="24"/>
          <w:szCs w:val="24"/>
          <w:shd w:val="clear" w:color="auto" w:fill="FFFFFF"/>
        </w:rPr>
        <w:t xml:space="preserve"> Site supported by Division of Information Technology, Stony Brook University (for example, MATLAB and </w:t>
      </w:r>
      <w:proofErr w:type="spellStart"/>
      <w:r w:rsidRPr="009A4369">
        <w:rPr>
          <w:rFonts w:ascii="Century Gothic" w:hAnsi="Century Gothic" w:cs="Arial"/>
          <w:color w:val="222222"/>
          <w:sz w:val="24"/>
          <w:szCs w:val="24"/>
          <w:shd w:val="clear" w:color="auto" w:fill="FFFFFF"/>
        </w:rPr>
        <w:t>GraphPad</w:t>
      </w:r>
      <w:proofErr w:type="spellEnd"/>
      <w:r w:rsidRPr="009A4369">
        <w:rPr>
          <w:rFonts w:ascii="Century Gothic" w:hAnsi="Century Gothic" w:cs="Arial"/>
          <w:color w:val="222222"/>
          <w:sz w:val="24"/>
          <w:szCs w:val="24"/>
          <w:shd w:val="clear" w:color="auto" w:fill="FFFFFF"/>
        </w:rPr>
        <w:t xml:space="preserve"> Prism).  </w:t>
      </w:r>
    </w:p>
    <w:p w:rsidR="005C676F" w:rsidRDefault="005C676F">
      <w:pPr>
        <w:rPr>
          <w:rFonts w:ascii="Century Gothic" w:hAnsi="Century Gothic"/>
          <w:sz w:val="24"/>
          <w:szCs w:val="24"/>
        </w:rPr>
      </w:pPr>
    </w:p>
    <w:p w:rsidR="005C676F" w:rsidRPr="009A4369" w:rsidRDefault="005C676F" w:rsidP="005C676F">
      <w:pPr>
        <w:spacing w:before="180" w:after="180" w:line="288" w:lineRule="atLeast"/>
        <w:jc w:val="center"/>
        <w:outlineLvl w:val="0"/>
        <w:rPr>
          <w:rFonts w:ascii="Century Gothic" w:eastAsia="Times New Roman" w:hAnsi="Century Gothic" w:cstheme="minorHAnsi"/>
          <w:b/>
          <w:bCs/>
          <w:color w:val="000000"/>
          <w:kern w:val="36"/>
          <w:sz w:val="24"/>
          <w:szCs w:val="24"/>
        </w:rPr>
      </w:pPr>
      <w:r w:rsidRPr="009A4369">
        <w:rPr>
          <w:rFonts w:ascii="Century Gothic" w:eastAsia="Times New Roman" w:hAnsi="Century Gothic" w:cstheme="minorHAnsi"/>
          <w:b/>
          <w:bCs/>
          <w:color w:val="000000"/>
          <w:kern w:val="36"/>
          <w:sz w:val="24"/>
          <w:szCs w:val="24"/>
        </w:rPr>
        <w:t>Central Microscopy Imaging Center</w:t>
      </w:r>
    </w:p>
    <w:p w:rsidR="005C676F" w:rsidRPr="009A4369" w:rsidRDefault="005C676F" w:rsidP="005C676F">
      <w:pPr>
        <w:rPr>
          <w:rFonts w:ascii="Century Gothic" w:hAnsi="Century Gothic"/>
          <w:sz w:val="24"/>
          <w:szCs w:val="24"/>
        </w:rPr>
      </w:pPr>
      <w:r w:rsidRPr="009A4369">
        <w:rPr>
          <w:rFonts w:ascii="Century Gothic" w:hAnsi="Century Gothic"/>
          <w:sz w:val="24"/>
          <w:szCs w:val="24"/>
        </w:rPr>
        <w:t>C</w:t>
      </w:r>
      <w:r>
        <w:rPr>
          <w:rFonts w:ascii="Century Gothic" w:hAnsi="Century Gothic"/>
          <w:sz w:val="24"/>
          <w:szCs w:val="24"/>
        </w:rPr>
        <w:t xml:space="preserve">entral </w:t>
      </w:r>
      <w:r w:rsidRPr="009A4369">
        <w:rPr>
          <w:rFonts w:ascii="Century Gothic" w:hAnsi="Century Gothic"/>
          <w:sz w:val="24"/>
          <w:szCs w:val="24"/>
        </w:rPr>
        <w:t>MIC is staffed with experience technical staff who can consult on experimental design and provide training on the instruments.</w:t>
      </w:r>
    </w:p>
    <w:p w:rsidR="005C676F" w:rsidRPr="009A4369" w:rsidRDefault="005C676F" w:rsidP="005C676F">
      <w:pPr>
        <w:rPr>
          <w:rFonts w:ascii="Century Gothic" w:hAnsi="Century Gothic"/>
          <w:sz w:val="24"/>
          <w:szCs w:val="24"/>
        </w:rPr>
      </w:pPr>
    </w:p>
    <w:p w:rsidR="00EF4BC1" w:rsidRDefault="00EF4BC1" w:rsidP="00A94A2D">
      <w:pPr>
        <w:spacing w:before="180" w:after="180" w:line="288" w:lineRule="atLeast"/>
        <w:jc w:val="center"/>
        <w:outlineLvl w:val="0"/>
        <w:rPr>
          <w:rFonts w:ascii="Century Gothic" w:eastAsia="Times New Roman" w:hAnsi="Century Gothic" w:cstheme="minorHAnsi"/>
          <w:b/>
          <w:bCs/>
          <w:color w:val="000000"/>
          <w:kern w:val="36"/>
          <w:sz w:val="24"/>
          <w:szCs w:val="24"/>
        </w:rPr>
      </w:pPr>
    </w:p>
    <w:p w:rsidR="00EF4BC1" w:rsidRDefault="00EF4BC1" w:rsidP="00A94A2D">
      <w:pPr>
        <w:spacing w:before="180" w:after="180" w:line="288" w:lineRule="atLeast"/>
        <w:jc w:val="center"/>
        <w:outlineLvl w:val="0"/>
        <w:rPr>
          <w:rFonts w:ascii="Century Gothic" w:eastAsia="Times New Roman" w:hAnsi="Century Gothic" w:cstheme="minorHAnsi"/>
          <w:b/>
          <w:bCs/>
          <w:color w:val="000000"/>
          <w:kern w:val="36"/>
          <w:sz w:val="24"/>
          <w:szCs w:val="24"/>
        </w:rPr>
      </w:pPr>
    </w:p>
    <w:p w:rsidR="005C676F" w:rsidRPr="008030B2" w:rsidRDefault="005C676F" w:rsidP="00A94A2D">
      <w:pPr>
        <w:spacing w:before="180" w:after="180" w:line="288" w:lineRule="atLeast"/>
        <w:jc w:val="center"/>
        <w:outlineLvl w:val="0"/>
        <w:rPr>
          <w:rFonts w:ascii="Century Gothic" w:eastAsia="Times New Roman" w:hAnsi="Century Gothic" w:cstheme="minorHAnsi"/>
          <w:bCs/>
          <w:color w:val="000000"/>
          <w:kern w:val="36"/>
          <w:sz w:val="24"/>
          <w:szCs w:val="24"/>
        </w:rPr>
      </w:pPr>
      <w:r w:rsidRPr="008030B2">
        <w:rPr>
          <w:rFonts w:ascii="Century Gothic" w:eastAsia="Times New Roman" w:hAnsi="Century Gothic" w:cstheme="minorHAnsi"/>
          <w:bCs/>
          <w:color w:val="000000"/>
          <w:kern w:val="36"/>
          <w:sz w:val="24"/>
          <w:szCs w:val="24"/>
        </w:rPr>
        <w:lastRenderedPageBreak/>
        <w:t>Light Microscopy Resources – Instrumentation</w:t>
      </w:r>
    </w:p>
    <w:p w:rsidR="005C676F" w:rsidRPr="009A4369" w:rsidRDefault="005C676F" w:rsidP="005C676F">
      <w:pPr>
        <w:pStyle w:val="NormalWeb"/>
        <w:shd w:val="clear" w:color="auto" w:fill="FFFFFF"/>
        <w:spacing w:before="240" w:beforeAutospacing="0" w:after="240" w:afterAutospacing="0"/>
        <w:ind w:left="720"/>
        <w:rPr>
          <w:rFonts w:ascii="Century Gothic" w:hAnsi="Century Gothic" w:cstheme="minorHAnsi"/>
          <w:color w:val="000000"/>
        </w:rPr>
      </w:pPr>
      <w:r w:rsidRPr="009A4369">
        <w:rPr>
          <w:rFonts w:ascii="Century Gothic" w:hAnsi="Century Gothic" w:cstheme="minorHAnsi"/>
          <w:b/>
          <w:bCs/>
          <w:color w:val="000000"/>
        </w:rPr>
        <w:t xml:space="preserve">Zeiss LSM 510 META NLO Two-Photon Laser Scanning Confocal Microscope </w:t>
      </w:r>
      <w:r w:rsidRPr="009A4369">
        <w:rPr>
          <w:rFonts w:ascii="Century Gothic" w:hAnsi="Century Gothic" w:cs="Arial"/>
          <w:color w:val="000000"/>
        </w:rPr>
        <w:br/>
      </w:r>
      <w:r w:rsidRPr="009A4369">
        <w:rPr>
          <w:rFonts w:ascii="Century Gothic" w:hAnsi="Century Gothic" w:cstheme="minorHAnsi"/>
          <w:color w:val="000000"/>
        </w:rPr>
        <w:t>Coupled with:</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Zeiss Inverted </w:t>
      </w:r>
      <w:proofErr w:type="spellStart"/>
      <w:r w:rsidRPr="009A4369">
        <w:rPr>
          <w:rFonts w:ascii="Century Gothic" w:eastAsia="Times New Roman" w:hAnsi="Century Gothic" w:cstheme="minorHAnsi"/>
          <w:color w:val="000000"/>
          <w:sz w:val="24"/>
          <w:szCs w:val="24"/>
        </w:rPr>
        <w:t>Axiovert</w:t>
      </w:r>
      <w:proofErr w:type="spellEnd"/>
      <w:r w:rsidRPr="009A4369">
        <w:rPr>
          <w:rFonts w:ascii="Century Gothic" w:eastAsia="Times New Roman" w:hAnsi="Century Gothic" w:cstheme="minorHAnsi"/>
          <w:color w:val="000000"/>
          <w:sz w:val="24"/>
          <w:szCs w:val="24"/>
        </w:rPr>
        <w:t xml:space="preserve"> 200 M Microscope</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Zeiss CTI Controller 3700</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Zeiss </w:t>
      </w:r>
      <w:proofErr w:type="spellStart"/>
      <w:r w:rsidRPr="009A4369">
        <w:rPr>
          <w:rFonts w:ascii="Century Gothic" w:eastAsia="Times New Roman" w:hAnsi="Century Gothic" w:cstheme="minorHAnsi"/>
          <w:color w:val="000000"/>
          <w:sz w:val="24"/>
          <w:szCs w:val="24"/>
        </w:rPr>
        <w:t>Tempcontrol</w:t>
      </w:r>
      <w:proofErr w:type="spellEnd"/>
      <w:r w:rsidRPr="009A4369">
        <w:rPr>
          <w:rFonts w:ascii="Century Gothic" w:eastAsia="Times New Roman" w:hAnsi="Century Gothic" w:cstheme="minorHAnsi"/>
          <w:color w:val="000000"/>
          <w:sz w:val="24"/>
          <w:szCs w:val="24"/>
        </w:rPr>
        <w:t xml:space="preserve"> 37-2 Digital</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(1) Laser Lines</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Argon: 458/477/488/514 nm, 25mW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HeNe1: 543 nm, 1mW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HeNe2: 633 nm, 5mW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Chameleon XR Laser System: tunable, 705 nm – 980 nm</w:t>
      </w:r>
    </w:p>
    <w:p w:rsidR="005C676F" w:rsidRPr="009A4369" w:rsidRDefault="005C676F" w:rsidP="005C676F">
      <w:pPr>
        <w:shd w:val="clear" w:color="auto" w:fill="FFFFFF"/>
        <w:spacing w:before="240" w:after="240"/>
        <w:ind w:left="720"/>
        <w:rPr>
          <w:rFonts w:ascii="Century Gothic" w:eastAsia="Times New Roman" w:hAnsi="Century Gothic" w:cs="Arial"/>
          <w:color w:val="000000"/>
          <w:sz w:val="24"/>
          <w:szCs w:val="24"/>
        </w:rPr>
      </w:pPr>
      <w:r w:rsidRPr="009A4369">
        <w:rPr>
          <w:rFonts w:ascii="Century Gothic" w:eastAsia="Times New Roman" w:hAnsi="Century Gothic" w:cstheme="minorHAnsi"/>
          <w:color w:val="000000"/>
          <w:sz w:val="24"/>
          <w:szCs w:val="24"/>
        </w:rPr>
        <w:t>Chameleon laser excites fluorophores from Blue to Red range, but most efficient with UV and near-UV excitable dyes</w:t>
      </w:r>
      <w:r w:rsidRPr="009A4369">
        <w:rPr>
          <w:rFonts w:ascii="Century Gothic" w:eastAsia="Times New Roman" w:hAnsi="Century Gothic" w:cs="Arial"/>
          <w:color w:val="000000"/>
          <w:sz w:val="24"/>
          <w:szCs w:val="24"/>
        </w:rPr>
        <w:t>.</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 xml:space="preserve">Olympus BX61WI </w:t>
      </w:r>
      <w:proofErr w:type="spellStart"/>
      <w:r w:rsidRPr="009A4369">
        <w:rPr>
          <w:rFonts w:ascii="Century Gothic" w:eastAsia="Times New Roman" w:hAnsi="Century Gothic" w:cstheme="minorHAnsi"/>
          <w:b/>
          <w:bCs/>
          <w:color w:val="000000"/>
          <w:sz w:val="24"/>
          <w:szCs w:val="24"/>
        </w:rPr>
        <w:t>InVivo</w:t>
      </w:r>
      <w:proofErr w:type="spellEnd"/>
      <w:r w:rsidRPr="009A4369">
        <w:rPr>
          <w:rFonts w:ascii="Century Gothic" w:eastAsia="Times New Roman" w:hAnsi="Century Gothic" w:cstheme="minorHAnsi"/>
          <w:b/>
          <w:bCs/>
          <w:color w:val="000000"/>
          <w:sz w:val="24"/>
          <w:szCs w:val="24"/>
        </w:rPr>
        <w:t xml:space="preserve"> Two-Photon Confocal Microscope</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(1) Laser Line</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Coherent Chameleon XR Laser System: tunable, 705 nm – 980 nm</w:t>
      </w:r>
    </w:p>
    <w:p w:rsidR="005C676F" w:rsidRPr="009A4369" w:rsidRDefault="005C676F" w:rsidP="005C676F">
      <w:pPr>
        <w:spacing w:before="180" w:after="180" w:line="288" w:lineRule="atLeast"/>
        <w:ind w:left="720"/>
        <w:outlineLvl w:val="0"/>
        <w:rPr>
          <w:rFonts w:ascii="Century Gothic" w:eastAsia="Times New Roman" w:hAnsi="Century Gothic" w:cstheme="minorHAnsi"/>
          <w:b/>
          <w:bCs/>
          <w:color w:val="000000"/>
          <w:kern w:val="36"/>
          <w:sz w:val="24"/>
          <w:szCs w:val="24"/>
        </w:rPr>
      </w:pPr>
      <w:r w:rsidRPr="009A4369">
        <w:rPr>
          <w:rStyle w:val="Strong"/>
          <w:rFonts w:ascii="Century Gothic" w:hAnsi="Century Gothic" w:cstheme="minorHAnsi"/>
          <w:color w:val="000000"/>
          <w:sz w:val="24"/>
          <w:szCs w:val="24"/>
          <w:shd w:val="clear" w:color="auto" w:fill="FFFFFF"/>
        </w:rPr>
        <w:t>Nikon N-SIM Super Resolution Microscope System</w:t>
      </w:r>
    </w:p>
    <w:p w:rsidR="005C676F" w:rsidRPr="009A4369" w:rsidRDefault="005C676F" w:rsidP="005C676F">
      <w:pPr>
        <w:ind w:left="720"/>
        <w:rPr>
          <w:rFonts w:ascii="Century Gothic" w:hAnsi="Century Gothic" w:cstheme="minorHAnsi"/>
          <w:color w:val="000000"/>
          <w:sz w:val="24"/>
          <w:szCs w:val="24"/>
          <w:shd w:val="clear" w:color="auto" w:fill="FFFFFF"/>
        </w:rPr>
      </w:pPr>
      <w:r w:rsidRPr="009A4369">
        <w:rPr>
          <w:rFonts w:ascii="Century Gothic" w:hAnsi="Century Gothic" w:cstheme="minorHAnsi"/>
          <w:color w:val="000000"/>
          <w:sz w:val="24"/>
          <w:szCs w:val="24"/>
          <w:shd w:val="clear" w:color="auto" w:fill="FFFFFF"/>
        </w:rPr>
        <w:t xml:space="preserve">N-SIM can produce nearly two times the resolution of conventional optical microscopes by combining “Structured Illumination Microscopy” (SIM) technology and Nikon Eclipse </w:t>
      </w:r>
      <w:proofErr w:type="spellStart"/>
      <w:r w:rsidRPr="009A4369">
        <w:rPr>
          <w:rFonts w:ascii="Century Gothic" w:hAnsi="Century Gothic" w:cstheme="minorHAnsi"/>
          <w:color w:val="000000"/>
          <w:sz w:val="24"/>
          <w:szCs w:val="24"/>
          <w:shd w:val="clear" w:color="auto" w:fill="FFFFFF"/>
        </w:rPr>
        <w:t>Ti</w:t>
      </w:r>
      <w:proofErr w:type="spellEnd"/>
      <w:r w:rsidRPr="009A4369">
        <w:rPr>
          <w:rFonts w:ascii="Century Gothic" w:hAnsi="Century Gothic" w:cstheme="minorHAnsi"/>
          <w:color w:val="000000"/>
          <w:sz w:val="24"/>
          <w:szCs w:val="24"/>
          <w:shd w:val="clear" w:color="auto" w:fill="FFFFFF"/>
        </w:rPr>
        <w:t xml:space="preserve"> research inverted microscope, with lateral resolution to approximately 100nm and axial resolution to approximately 200nm. 3D capable. TIRF capable. Laser lines: 405nm, 488nm, 561nm, 640nm.</w:t>
      </w:r>
    </w:p>
    <w:p w:rsidR="005C676F" w:rsidRPr="009A4369" w:rsidRDefault="005C676F" w:rsidP="005C676F">
      <w:pPr>
        <w:ind w:left="720"/>
        <w:rPr>
          <w:rFonts w:ascii="Century Gothic" w:hAnsi="Century Gothic" w:cstheme="minorHAnsi"/>
          <w:b/>
          <w:bCs/>
          <w:sz w:val="24"/>
          <w:szCs w:val="24"/>
        </w:rPr>
      </w:pPr>
      <w:r w:rsidRPr="009A4369">
        <w:rPr>
          <w:rFonts w:ascii="Century Gothic" w:hAnsi="Century Gothic" w:cstheme="minorHAnsi"/>
          <w:b/>
          <w:bCs/>
          <w:sz w:val="24"/>
          <w:szCs w:val="24"/>
        </w:rPr>
        <w:t>Nikon N-STORM Super Resolution Microscope System</w:t>
      </w:r>
    </w:p>
    <w:p w:rsidR="005C676F" w:rsidRPr="009A4369" w:rsidRDefault="005C676F" w:rsidP="005C676F">
      <w:pPr>
        <w:ind w:left="720"/>
        <w:rPr>
          <w:rFonts w:ascii="Century Gothic" w:hAnsi="Century Gothic" w:cstheme="minorHAnsi"/>
          <w:sz w:val="24"/>
          <w:szCs w:val="24"/>
        </w:rPr>
      </w:pPr>
      <w:r w:rsidRPr="009A4369">
        <w:rPr>
          <w:rFonts w:ascii="Century Gothic" w:hAnsi="Century Gothic" w:cstheme="minorHAnsi"/>
          <w:sz w:val="24"/>
          <w:szCs w:val="24"/>
        </w:rPr>
        <w:t xml:space="preserve">N-STORM can produce 10 times the resolution of conventional optical microscopes by combining “Stochastic Optical Reconstruction Microscopy” (STORM) technology and Nikon's Eclipse </w:t>
      </w:r>
      <w:proofErr w:type="spellStart"/>
      <w:r w:rsidRPr="009A4369">
        <w:rPr>
          <w:rFonts w:ascii="Century Gothic" w:hAnsi="Century Gothic" w:cstheme="minorHAnsi"/>
          <w:sz w:val="24"/>
          <w:szCs w:val="24"/>
        </w:rPr>
        <w:t>Ti</w:t>
      </w:r>
      <w:proofErr w:type="spellEnd"/>
      <w:r w:rsidRPr="009A4369">
        <w:rPr>
          <w:rFonts w:ascii="Century Gothic" w:hAnsi="Century Gothic" w:cstheme="minorHAnsi"/>
          <w:sz w:val="24"/>
          <w:szCs w:val="24"/>
        </w:rPr>
        <w:t xml:space="preserve"> research inverted microscope, with lateral resolution to approximately 20nm and axial resolution to approximately 50nm, extending the role of the optical microscope to near molecular level resolution. 3D capable. Laser lines: 405nm, 488nm, 561nm, 647nm.</w:t>
      </w:r>
      <w:r w:rsidRPr="009A4369">
        <w:rPr>
          <w:rFonts w:ascii="Century Gothic" w:hAnsi="Century Gothic" w:cstheme="minorHAnsi"/>
          <w:sz w:val="24"/>
          <w:szCs w:val="24"/>
        </w:rPr>
        <w:br/>
        <w:t>STORM Protocol-Sample Preparation</w:t>
      </w:r>
    </w:p>
    <w:p w:rsidR="005C676F" w:rsidRPr="009A4369" w:rsidRDefault="005C676F" w:rsidP="005C676F">
      <w:pPr>
        <w:ind w:left="720"/>
        <w:rPr>
          <w:rFonts w:ascii="Century Gothic" w:hAnsi="Century Gothic" w:cstheme="minorHAnsi"/>
          <w:sz w:val="24"/>
          <w:szCs w:val="24"/>
        </w:rPr>
      </w:pPr>
    </w:p>
    <w:p w:rsidR="005C676F" w:rsidRDefault="005C676F" w:rsidP="00194157">
      <w:pPr>
        <w:jc w:val="center"/>
        <w:rPr>
          <w:rFonts w:ascii="Century Gothic" w:hAnsi="Century Gothic" w:cstheme="minorHAnsi"/>
          <w:b/>
          <w:bCs/>
          <w:sz w:val="24"/>
          <w:szCs w:val="24"/>
        </w:rPr>
      </w:pPr>
      <w:r w:rsidRPr="009A4369">
        <w:rPr>
          <w:rFonts w:ascii="Century Gothic" w:hAnsi="Century Gothic" w:cstheme="minorHAnsi"/>
          <w:b/>
          <w:bCs/>
          <w:sz w:val="24"/>
          <w:szCs w:val="24"/>
        </w:rPr>
        <w:t>TEM Resources</w:t>
      </w:r>
    </w:p>
    <w:p w:rsidR="00194157" w:rsidRPr="009A4369" w:rsidRDefault="00194157" w:rsidP="00194157">
      <w:pPr>
        <w:jc w:val="center"/>
        <w:rPr>
          <w:rFonts w:ascii="Century Gothic" w:hAnsi="Century Gothic" w:cstheme="minorHAnsi"/>
          <w:b/>
          <w:bCs/>
          <w:sz w:val="24"/>
          <w:szCs w:val="24"/>
        </w:rPr>
      </w:pPr>
    </w:p>
    <w:p w:rsidR="005C676F" w:rsidRPr="009A4369" w:rsidRDefault="005C676F" w:rsidP="005C676F">
      <w:pPr>
        <w:ind w:left="720"/>
        <w:rPr>
          <w:rFonts w:ascii="Century Gothic" w:hAnsi="Century Gothic" w:cstheme="minorHAnsi"/>
          <w:b/>
          <w:bCs/>
          <w:sz w:val="24"/>
          <w:szCs w:val="24"/>
        </w:rPr>
      </w:pPr>
      <w:r w:rsidRPr="009A4369">
        <w:rPr>
          <w:rFonts w:ascii="Century Gothic" w:hAnsi="Century Gothic" w:cstheme="minorHAnsi"/>
          <w:b/>
          <w:bCs/>
          <w:sz w:val="24"/>
          <w:szCs w:val="24"/>
        </w:rPr>
        <w:t>FEI BioTwinG² Transmission Electron Microscope (TEM)</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AMT digital camera for </w:t>
      </w:r>
      <w:proofErr w:type="spellStart"/>
      <w:r w:rsidRPr="009A4369">
        <w:rPr>
          <w:rFonts w:ascii="Century Gothic" w:hAnsi="Century Gothic" w:cstheme="minorHAnsi"/>
          <w:sz w:val="24"/>
          <w:szCs w:val="24"/>
        </w:rPr>
        <w:t>aquiring</w:t>
      </w:r>
      <w:proofErr w:type="spellEnd"/>
      <w:r w:rsidRPr="009A4369">
        <w:rPr>
          <w:rFonts w:ascii="Century Gothic" w:hAnsi="Century Gothic" w:cstheme="minorHAnsi"/>
          <w:sz w:val="24"/>
          <w:szCs w:val="24"/>
        </w:rPr>
        <w:t xml:space="preserve"> images as well as film capability</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accelerating voltage of 120kV with goniometer/stage tilt capability</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software for serial reconstruction</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Routine sample preparation (embedding, sectioning) as well as:</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immunohistochemistry using </w:t>
      </w:r>
      <w:proofErr w:type="spellStart"/>
      <w:r w:rsidRPr="009A4369">
        <w:rPr>
          <w:rFonts w:ascii="Century Gothic" w:hAnsi="Century Gothic" w:cstheme="minorHAnsi"/>
          <w:sz w:val="24"/>
          <w:szCs w:val="24"/>
        </w:rPr>
        <w:t>immunogold</w:t>
      </w:r>
      <w:proofErr w:type="spellEnd"/>
      <w:r w:rsidRPr="009A4369">
        <w:rPr>
          <w:rFonts w:ascii="Century Gothic" w:hAnsi="Century Gothic" w:cstheme="minorHAnsi"/>
          <w:sz w:val="24"/>
          <w:szCs w:val="24"/>
        </w:rPr>
        <w:t xml:space="preserve"> techniques</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negative staining</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serial sectioning</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Leica EM UC7 </w:t>
      </w:r>
      <w:proofErr w:type="spellStart"/>
      <w:r w:rsidRPr="009A4369">
        <w:rPr>
          <w:rFonts w:ascii="Century Gothic" w:hAnsi="Century Gothic" w:cstheme="minorHAnsi"/>
          <w:sz w:val="24"/>
          <w:szCs w:val="24"/>
        </w:rPr>
        <w:t>ultramicrotome</w:t>
      </w:r>
      <w:proofErr w:type="spellEnd"/>
      <w:r w:rsidRPr="009A4369">
        <w:rPr>
          <w:rFonts w:ascii="Century Gothic" w:hAnsi="Century Gothic" w:cstheme="minorHAnsi"/>
          <w:sz w:val="24"/>
          <w:szCs w:val="24"/>
        </w:rPr>
        <w:t xml:space="preserve"> for ultrathin sectioning</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Individual tutorial for independent operation as well as assisted TEM support</w:t>
      </w:r>
    </w:p>
    <w:p w:rsidR="005C676F" w:rsidRDefault="005C676F">
      <w:pPr>
        <w:rPr>
          <w:rFonts w:ascii="Century Gothic" w:hAnsi="Century Gothic"/>
          <w:sz w:val="24"/>
          <w:szCs w:val="24"/>
        </w:rPr>
      </w:pPr>
    </w:p>
    <w:p w:rsidR="00194157" w:rsidRDefault="00194157" w:rsidP="00194157">
      <w:pPr>
        <w:jc w:val="center"/>
        <w:rPr>
          <w:rFonts w:ascii="Century Gothic" w:hAnsi="Century Gothic" w:cstheme="minorHAnsi"/>
          <w:b/>
          <w:bCs/>
          <w:sz w:val="24"/>
          <w:szCs w:val="24"/>
        </w:rPr>
      </w:pPr>
      <w:r w:rsidRPr="00194157">
        <w:rPr>
          <w:rFonts w:ascii="Century Gothic" w:hAnsi="Century Gothic" w:cstheme="minorHAnsi"/>
          <w:b/>
          <w:bCs/>
          <w:sz w:val="24"/>
          <w:szCs w:val="24"/>
        </w:rPr>
        <w:t>The Center for Understanding Biology using Imaging Technology</w:t>
      </w:r>
      <w:r>
        <w:rPr>
          <w:rFonts w:ascii="Century Gothic" w:hAnsi="Century Gothic" w:cstheme="minorHAnsi"/>
          <w:b/>
          <w:bCs/>
          <w:sz w:val="24"/>
          <w:szCs w:val="24"/>
        </w:rPr>
        <w:t xml:space="preserve"> (</w:t>
      </w:r>
      <w:r w:rsidRPr="009A4369">
        <w:rPr>
          <w:rFonts w:ascii="Century Gothic" w:hAnsi="Century Gothic" w:cstheme="minorHAnsi"/>
          <w:b/>
          <w:bCs/>
          <w:sz w:val="24"/>
          <w:szCs w:val="24"/>
        </w:rPr>
        <w:t>CUBIT</w:t>
      </w:r>
      <w:r>
        <w:rPr>
          <w:rFonts w:ascii="Century Gothic" w:hAnsi="Century Gothic" w:cstheme="minorHAnsi"/>
          <w:b/>
          <w:bCs/>
          <w:sz w:val="24"/>
          <w:szCs w:val="24"/>
        </w:rPr>
        <w:t>)</w:t>
      </w:r>
      <w:r w:rsidRPr="009A4369">
        <w:rPr>
          <w:rFonts w:ascii="Century Gothic" w:hAnsi="Century Gothic" w:cstheme="minorHAnsi"/>
          <w:b/>
          <w:bCs/>
          <w:sz w:val="24"/>
          <w:szCs w:val="24"/>
        </w:rPr>
        <w:t>:</w:t>
      </w:r>
    </w:p>
    <w:p w:rsidR="00194157" w:rsidRPr="009A4369" w:rsidRDefault="00194157" w:rsidP="00194157">
      <w:pPr>
        <w:jc w:val="center"/>
        <w:rPr>
          <w:rFonts w:ascii="Century Gothic" w:hAnsi="Century Gothic" w:cstheme="minorHAnsi"/>
          <w:b/>
          <w:bCs/>
          <w:sz w:val="24"/>
          <w:szCs w:val="24"/>
        </w:rPr>
      </w:pPr>
      <w:r w:rsidRPr="009A4369">
        <w:rPr>
          <w:rFonts w:ascii="Century Gothic" w:hAnsi="Century Gothic" w:cstheme="minorHAnsi"/>
          <w:b/>
          <w:bCs/>
          <w:sz w:val="24"/>
          <w:szCs w:val="24"/>
        </w:rPr>
        <w:t>PET Research Core</w:t>
      </w: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CUBIT is a team of image analysts, programmers and engineers, focused on extracting the most accurate quantitative information from medical images.</w:t>
      </w: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CUBIT facilitates image acquisition and analysis from Magnetic Resonance Imaging sequences including:</w:t>
      </w:r>
    </w:p>
    <w:p w:rsidR="00194157" w:rsidRPr="009A4369" w:rsidRDefault="00194157" w:rsidP="00194157">
      <w:pPr>
        <w:numPr>
          <w:ilvl w:val="0"/>
          <w:numId w:val="11"/>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structural MRI</w:t>
      </w:r>
    </w:p>
    <w:p w:rsidR="00194157" w:rsidRDefault="00194157" w:rsidP="00194157">
      <w:pPr>
        <w:numPr>
          <w:ilvl w:val="0"/>
          <w:numId w:val="11"/>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diffusion MRI (DTI and DSI)</w:t>
      </w:r>
    </w:p>
    <w:p w:rsidR="00194157" w:rsidRPr="009A4369" w:rsidRDefault="00194157" w:rsidP="002B5420">
      <w:pPr>
        <w:spacing w:after="0" w:line="240" w:lineRule="auto"/>
        <w:ind w:left="360"/>
        <w:rPr>
          <w:rFonts w:ascii="Century Gothic" w:eastAsia="Times New Roman" w:hAnsi="Century Gothic"/>
          <w:sz w:val="24"/>
          <w:szCs w:val="24"/>
        </w:rPr>
      </w:pP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We also aid in the acquisition and analysis of Positron Emission Tomography (PET) including:</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Drug Occupancy Studies</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Longitudinal Analysis</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Test-retest (stability) Analysis</w:t>
      </w:r>
    </w:p>
    <w:p w:rsidR="00194157" w:rsidRPr="009A4369" w:rsidRDefault="00194157" w:rsidP="00194157">
      <w:pPr>
        <w:numPr>
          <w:ilvl w:val="0"/>
          <w:numId w:val="13"/>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 Full quantification with plasma/blood input / Reference region approaches</w:t>
      </w:r>
    </w:p>
    <w:p w:rsidR="00194157" w:rsidRDefault="00194157">
      <w:pPr>
        <w:rPr>
          <w:rFonts w:ascii="Century Gothic" w:hAnsi="Century Gothic"/>
          <w:sz w:val="24"/>
          <w:szCs w:val="24"/>
        </w:rPr>
      </w:pPr>
    </w:p>
    <w:p w:rsidR="00E34876" w:rsidRPr="009A4369" w:rsidRDefault="00E34876" w:rsidP="00E34876">
      <w:pPr>
        <w:jc w:val="center"/>
        <w:rPr>
          <w:rFonts w:ascii="Century Gothic" w:hAnsi="Century Gothic" w:cstheme="minorHAnsi"/>
          <w:sz w:val="24"/>
          <w:szCs w:val="24"/>
        </w:rPr>
      </w:pPr>
      <w:r w:rsidRPr="009A4369">
        <w:rPr>
          <w:rFonts w:ascii="Century Gothic" w:hAnsi="Century Gothic" w:cstheme="minorHAnsi"/>
          <w:b/>
          <w:bCs/>
          <w:sz w:val="24"/>
          <w:szCs w:val="24"/>
        </w:rPr>
        <w:t xml:space="preserve">Division of Laboratory Animal Resources </w:t>
      </w:r>
      <w:r>
        <w:rPr>
          <w:rFonts w:ascii="Century Gothic" w:hAnsi="Century Gothic" w:cstheme="minorHAnsi"/>
          <w:b/>
          <w:bCs/>
          <w:sz w:val="24"/>
          <w:szCs w:val="24"/>
        </w:rPr>
        <w:t>(DLAR)</w:t>
      </w:r>
    </w:p>
    <w:p w:rsidR="00E34876" w:rsidRPr="009A4369" w:rsidRDefault="00E34876" w:rsidP="00E34876">
      <w:pPr>
        <w:rPr>
          <w:rFonts w:ascii="Century Gothic" w:hAnsi="Century Gothic" w:cstheme="minorHAnsi"/>
          <w:sz w:val="24"/>
          <w:szCs w:val="24"/>
        </w:rPr>
      </w:pPr>
      <w:r w:rsidRPr="009A4369">
        <w:rPr>
          <w:rFonts w:ascii="Century Gothic" w:hAnsi="Century Gothic" w:cstheme="minorHAnsi"/>
          <w:sz w:val="24"/>
          <w:szCs w:val="24"/>
        </w:rPr>
        <w:t xml:space="preserve">The Division of Laboratory Animal Resources (DLAR) at Stony Brook University is fully committed to the judicious, humane use of animals in research and teaching. The Division supports all SBU animal related research through the </w:t>
      </w:r>
      <w:r w:rsidRPr="009A4369">
        <w:rPr>
          <w:rFonts w:ascii="Century Gothic" w:hAnsi="Century Gothic" w:cstheme="minorHAnsi"/>
          <w:sz w:val="24"/>
          <w:szCs w:val="24"/>
        </w:rPr>
        <w:lastRenderedPageBreak/>
        <w:t>provision of laboratory animal management and veterinary medical care and assures institutional compliance with all federal, state and local regulations and policies. DLAR is responsible for animal procurement; animal husbandry; veterinary care including health surveillance, preventative medicine programs, animal quarantine, personnel training and special technical support; and maintenance of animal facilities and equipment.</w:t>
      </w:r>
    </w:p>
    <w:p w:rsidR="00E34876" w:rsidRPr="009A4369" w:rsidRDefault="00E34876" w:rsidP="00E34876">
      <w:pPr>
        <w:rPr>
          <w:rFonts w:ascii="Century Gothic" w:hAnsi="Century Gothic" w:cstheme="minorHAnsi"/>
          <w:sz w:val="24"/>
          <w:szCs w:val="24"/>
        </w:rPr>
      </w:pPr>
      <w:r w:rsidRPr="009A4369">
        <w:rPr>
          <w:rFonts w:ascii="Century Gothic" w:hAnsi="Century Gothic" w:cstheme="minorHAnsi"/>
          <w:sz w:val="24"/>
          <w:szCs w:val="24"/>
        </w:rPr>
        <w:t>DLAR, with 26 administrative, veterinary and technical personnel, provides quality animal care for over 15 species of laboratory animals located in five facilities on campus. The School of Medicine, and the Departments of Anatomical Sciences, Biochemistry and Cell Biology, Ecology and Evolution, Neurobiology and Behavior, Marine Biology, Molecular Genetics and Microbiology, Physiology and Biophysics, Pharmacological Sciences, and Psychology, receive approximately $36 million of funding for essential animals research annually.</w:t>
      </w:r>
    </w:p>
    <w:p w:rsidR="00E34876" w:rsidRPr="009A4369" w:rsidRDefault="00E34876" w:rsidP="00E34876">
      <w:pPr>
        <w:rPr>
          <w:rFonts w:ascii="Century Gothic" w:hAnsi="Century Gothic"/>
          <w:sz w:val="24"/>
          <w:szCs w:val="24"/>
        </w:rPr>
      </w:pPr>
      <w:r w:rsidRPr="009A4369">
        <w:rPr>
          <w:rFonts w:ascii="Century Gothic" w:hAnsi="Century Gothic"/>
          <w:sz w:val="24"/>
          <w:szCs w:val="24"/>
          <w:u w:val="single"/>
        </w:rPr>
        <w:t>Description of Animal Facilities</w:t>
      </w:r>
      <w:r w:rsidRPr="009A4369">
        <w:rPr>
          <w:rFonts w:ascii="Century Gothic" w:hAnsi="Century Gothic"/>
          <w:sz w:val="24"/>
          <w:szCs w:val="24"/>
        </w:rPr>
        <w:t xml:space="preserve">: The on-campus DLAR facilities are located in the following four facilities. These facilities are administered centrally through the DLAR and directed and staffed as previously described. </w:t>
      </w:r>
    </w:p>
    <w:p w:rsidR="00E34876" w:rsidRPr="009A4369" w:rsidRDefault="00E34876" w:rsidP="00E34876">
      <w:pPr>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Health Sciences Center (HSC)</w:t>
      </w:r>
      <w:r w:rsidRPr="009A4369">
        <w:rPr>
          <w:rFonts w:ascii="Century Gothic" w:hAnsi="Century Gothic"/>
          <w:sz w:val="24"/>
          <w:szCs w:val="24"/>
        </w:rPr>
        <w:t xml:space="preserve"> –This is the main and largest DLAR facility and is where the Director and her support staff are based. This 66,285 square foot, ground level facility has the following components: a dedicated loading dock; an animal receiving room; two veterinary treatment areas; four survival surgery suites with associated surgical scrub, animal prep and equipment prep areas; one non-survival surgical suite; a post-operative recovery room; a portable </w:t>
      </w:r>
      <w:proofErr w:type="spellStart"/>
      <w:r w:rsidRPr="009A4369">
        <w:rPr>
          <w:rFonts w:ascii="Century Gothic" w:hAnsi="Century Gothic"/>
          <w:sz w:val="24"/>
          <w:szCs w:val="24"/>
        </w:rPr>
        <w:t>Xray</w:t>
      </w:r>
      <w:proofErr w:type="spellEnd"/>
      <w:r w:rsidRPr="009A4369">
        <w:rPr>
          <w:rFonts w:ascii="Century Gothic" w:hAnsi="Century Gothic"/>
          <w:sz w:val="24"/>
          <w:szCs w:val="24"/>
        </w:rPr>
        <w:t xml:space="preserve"> machine and </w:t>
      </w:r>
      <w:proofErr w:type="spellStart"/>
      <w:r w:rsidRPr="009A4369">
        <w:rPr>
          <w:rFonts w:ascii="Century Gothic" w:hAnsi="Century Gothic"/>
          <w:sz w:val="24"/>
          <w:szCs w:val="24"/>
        </w:rPr>
        <w:t>anautomatic</w:t>
      </w:r>
      <w:proofErr w:type="spellEnd"/>
      <w:r w:rsidRPr="009A4369">
        <w:rPr>
          <w:rFonts w:ascii="Century Gothic" w:hAnsi="Century Gothic"/>
          <w:sz w:val="24"/>
          <w:szCs w:val="24"/>
        </w:rPr>
        <w:t xml:space="preserve"> film processor;  a large animal ultrasound machine; a rodent ultrasound machine, a rodent </w:t>
      </w:r>
      <w:proofErr w:type="spellStart"/>
      <w:r w:rsidRPr="009A4369">
        <w:rPr>
          <w:rFonts w:ascii="Century Gothic" w:hAnsi="Century Gothic"/>
          <w:sz w:val="24"/>
          <w:szCs w:val="24"/>
        </w:rPr>
        <w:t>microCT</w:t>
      </w:r>
      <w:proofErr w:type="spellEnd"/>
      <w:r w:rsidRPr="009A4369">
        <w:rPr>
          <w:rFonts w:ascii="Century Gothic" w:hAnsi="Century Gothic"/>
          <w:sz w:val="24"/>
          <w:szCs w:val="24"/>
        </w:rPr>
        <w:t xml:space="preserve"> machine, a portable C-arm fluoroscope; stationary fluoroscope and PET/CT/SPECT imagers, a 7.4T and a 9.4T rodent MRI imager, an IVIS bioluminescence imager, a </w:t>
      </w:r>
      <w:proofErr w:type="spellStart"/>
      <w:r w:rsidRPr="009A4369">
        <w:rPr>
          <w:rFonts w:ascii="Century Gothic" w:hAnsi="Century Gothic"/>
          <w:sz w:val="24"/>
          <w:szCs w:val="24"/>
        </w:rPr>
        <w:t>Lietz</w:t>
      </w:r>
      <w:proofErr w:type="spellEnd"/>
      <w:r w:rsidRPr="009A4369">
        <w:rPr>
          <w:rFonts w:ascii="Century Gothic" w:hAnsi="Century Gothic"/>
          <w:sz w:val="24"/>
          <w:szCs w:val="24"/>
        </w:rPr>
        <w:t xml:space="preserve"> </w:t>
      </w:r>
      <w:proofErr w:type="spellStart"/>
      <w:r w:rsidRPr="009A4369">
        <w:rPr>
          <w:rFonts w:ascii="Century Gothic" w:hAnsi="Century Gothic"/>
          <w:sz w:val="24"/>
          <w:szCs w:val="24"/>
        </w:rPr>
        <w:t>Ortholuz</w:t>
      </w:r>
      <w:proofErr w:type="spellEnd"/>
      <w:r w:rsidRPr="009A4369">
        <w:rPr>
          <w:rFonts w:ascii="Century Gothic" w:hAnsi="Century Gothic"/>
          <w:sz w:val="24"/>
          <w:szCs w:val="24"/>
        </w:rPr>
        <w:t xml:space="preserve"> microscope; a cesium irradiating unit for rodents; two dedicated biohazard autoclaves; two autoclaves dedicated to sterilizing clean supplies; 86 animal rooms for housing non-human primates, sheep, pigs, dogs, cats, rabbits, rodents, amphibians and birds; biohazard and quarantine rooms; laboratory areas for experimental procedures; a necropsy suite, with animal and radioactive animal carcass coolers; a walk-in cooler for storage of feed; two tunnel washers; one rack washer; equipment and supply storerooms; one classroom used for staff and investigator didactic training; a laundry area; 2 locker rooms; an employee lunch room and staff offices.  In addition, DLAR space has been dedicated for shared mouse phenotyping equipment including a rodent ultrasound unit, GFP imaging unit, indirect calorimetry equipment, and a </w:t>
      </w:r>
      <w:proofErr w:type="spellStart"/>
      <w:r w:rsidRPr="009A4369">
        <w:rPr>
          <w:rFonts w:ascii="Century Gothic" w:hAnsi="Century Gothic"/>
          <w:sz w:val="24"/>
          <w:szCs w:val="24"/>
        </w:rPr>
        <w:t>microCT</w:t>
      </w:r>
      <w:proofErr w:type="spellEnd"/>
      <w:r w:rsidRPr="009A4369">
        <w:rPr>
          <w:rFonts w:ascii="Century Gothic" w:hAnsi="Century Gothic"/>
          <w:sz w:val="24"/>
          <w:szCs w:val="24"/>
        </w:rPr>
        <w:t xml:space="preserve"> unit.</w:t>
      </w:r>
    </w:p>
    <w:p w:rsidR="00E34876" w:rsidRPr="009A4369" w:rsidRDefault="00E34876" w:rsidP="00E34876">
      <w:pPr>
        <w:ind w:left="720"/>
        <w:rPr>
          <w:rFonts w:ascii="Century Gothic" w:hAnsi="Century Gothic"/>
          <w:sz w:val="24"/>
          <w:szCs w:val="24"/>
        </w:rPr>
      </w:pPr>
    </w:p>
    <w:p w:rsidR="00E34876" w:rsidRPr="009A4369" w:rsidRDefault="00E34876" w:rsidP="00E34876">
      <w:pPr>
        <w:pStyle w:val="BodyTextIndent2"/>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Life Sciences Building</w:t>
      </w:r>
      <w:r w:rsidRPr="009A4369">
        <w:rPr>
          <w:rFonts w:ascii="Century Gothic" w:hAnsi="Century Gothic"/>
          <w:sz w:val="24"/>
          <w:szCs w:val="24"/>
        </w:rPr>
        <w:t xml:space="preserve"> – This is a 12,060 square foot, ground level facility located in the basement of the Life Science Building. It has a loading dock, 9 animal rooms, 5 laboratory areas, 1 store room, 1 surgical/experimental procedure room and 1 </w:t>
      </w:r>
      <w:proofErr w:type="spellStart"/>
      <w:r w:rsidRPr="009A4369">
        <w:rPr>
          <w:rFonts w:ascii="Century Gothic" w:hAnsi="Century Gothic"/>
          <w:sz w:val="24"/>
          <w:szCs w:val="24"/>
        </w:rPr>
        <w:t>cagewash</w:t>
      </w:r>
      <w:proofErr w:type="spellEnd"/>
      <w:r w:rsidRPr="009A4369">
        <w:rPr>
          <w:rFonts w:ascii="Century Gothic" w:hAnsi="Century Gothic"/>
          <w:sz w:val="24"/>
          <w:szCs w:val="24"/>
        </w:rPr>
        <w:t xml:space="preserve"> room containing a rack washer and a tunnel washer. Mice housed under maximum isolation conditions and conventionally housed mice, rats, amphibians and fish are located in this facility.</w:t>
      </w:r>
    </w:p>
    <w:p w:rsidR="00E34876" w:rsidRPr="009A4369" w:rsidRDefault="00E34876" w:rsidP="00E34876">
      <w:pPr>
        <w:pStyle w:val="BodyTextIndent2"/>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Computer Science Building</w:t>
      </w:r>
      <w:r w:rsidRPr="009A4369">
        <w:rPr>
          <w:rFonts w:ascii="Century Gothic" w:hAnsi="Century Gothic"/>
          <w:sz w:val="24"/>
          <w:szCs w:val="24"/>
        </w:rPr>
        <w:t xml:space="preserve"> – This 9,850 square foot animal facility is located on the ground floor. It is a single corridor facility with a loading dock, 7 animal rooms, 4 investigator laboratory/animal training areas, 1 storeroom, an autoclave and a cage/rack washer. It currently houses non-human primates (slow </w:t>
      </w:r>
      <w:proofErr w:type="spellStart"/>
      <w:r w:rsidRPr="009A4369">
        <w:rPr>
          <w:rFonts w:ascii="Century Gothic" w:hAnsi="Century Gothic"/>
          <w:sz w:val="24"/>
          <w:szCs w:val="24"/>
        </w:rPr>
        <w:t>loris</w:t>
      </w:r>
      <w:proofErr w:type="spellEnd"/>
      <w:r w:rsidRPr="009A4369">
        <w:rPr>
          <w:rFonts w:ascii="Century Gothic" w:hAnsi="Century Gothic"/>
          <w:sz w:val="24"/>
          <w:szCs w:val="24"/>
        </w:rPr>
        <w:t xml:space="preserve">, capuchin, </w:t>
      </w:r>
      <w:proofErr w:type="gramStart"/>
      <w:r w:rsidRPr="009A4369">
        <w:rPr>
          <w:rFonts w:ascii="Century Gothic" w:hAnsi="Century Gothic"/>
          <w:sz w:val="24"/>
          <w:szCs w:val="24"/>
        </w:rPr>
        <w:t>baboon</w:t>
      </w:r>
      <w:proofErr w:type="gramEnd"/>
      <w:r w:rsidRPr="009A4369">
        <w:rPr>
          <w:rFonts w:ascii="Century Gothic" w:hAnsi="Century Gothic"/>
          <w:sz w:val="24"/>
          <w:szCs w:val="24"/>
        </w:rPr>
        <w:t>) used in locomotion anthropological studies.</w:t>
      </w:r>
    </w:p>
    <w:p w:rsidR="00E34876" w:rsidRPr="009A4369" w:rsidRDefault="00E34876" w:rsidP="00E34876">
      <w:pPr>
        <w:pStyle w:val="BodyTextIndent2"/>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Psychology A</w:t>
      </w:r>
      <w:r w:rsidRPr="009A4369">
        <w:rPr>
          <w:rFonts w:ascii="Century Gothic" w:hAnsi="Century Gothic"/>
          <w:sz w:val="24"/>
          <w:szCs w:val="24"/>
        </w:rPr>
        <w:t xml:space="preserve"> – This 3,622 square foot, third floor facility has a key-locked, dedicated elevator off of the loading dock.  There are investigator offices and laboratories that connect to the animal facility. The facility has 8 animal rooms, 2 rodent surgery suites, 1 necropsy room, 2 laboratories, 1 storeroom and 1 cage/rack washer and houses conventional rodents and pigeons. </w:t>
      </w:r>
    </w:p>
    <w:p w:rsidR="00E34876" w:rsidRDefault="00E34876" w:rsidP="00E34876">
      <w:pPr>
        <w:pStyle w:val="BodyTextIndent2"/>
        <w:spacing w:line="240" w:lineRule="auto"/>
        <w:ind w:left="0"/>
        <w:rPr>
          <w:rFonts w:ascii="Century Gothic" w:hAnsi="Century Gothic"/>
          <w:sz w:val="24"/>
          <w:szCs w:val="24"/>
        </w:rPr>
      </w:pPr>
    </w:p>
    <w:p w:rsidR="00E34876" w:rsidRPr="009A4369" w:rsidRDefault="00E34876" w:rsidP="00E34876">
      <w:pPr>
        <w:pStyle w:val="BodyTextIndent2"/>
        <w:spacing w:line="240" w:lineRule="auto"/>
        <w:ind w:left="0"/>
        <w:rPr>
          <w:rFonts w:ascii="Century Gothic" w:hAnsi="Century Gothic"/>
          <w:sz w:val="24"/>
          <w:szCs w:val="24"/>
        </w:rPr>
      </w:pPr>
      <w:r w:rsidRPr="009A4369">
        <w:rPr>
          <w:rFonts w:ascii="Century Gothic" w:hAnsi="Century Gothic"/>
          <w:sz w:val="24"/>
          <w:szCs w:val="24"/>
        </w:rPr>
        <w:t>There are two off campus facilities that houses vertebrate species. The Marine Science Division has a 7,244 square foot facility at Flax Pond that maintains large aquaria housing wild caught fish native to the Long Island Sound.   Stony Brook University has also recently purchased the Southampton college campus and they have a Marine Sciences facility which is under the oversight of the Stony Brook University IACUC.</w:t>
      </w:r>
    </w:p>
    <w:p w:rsidR="00522682" w:rsidRPr="009A4369" w:rsidRDefault="00522682" w:rsidP="000F61E3">
      <w:pPr>
        <w:jc w:val="center"/>
        <w:rPr>
          <w:rFonts w:ascii="Century Gothic" w:hAnsi="Century Gothic" w:cstheme="minorHAnsi"/>
          <w:b/>
          <w:bCs/>
          <w:sz w:val="24"/>
          <w:szCs w:val="24"/>
        </w:rPr>
      </w:pPr>
      <w:r w:rsidRPr="009A4369">
        <w:rPr>
          <w:rFonts w:ascii="Century Gothic" w:hAnsi="Century Gothic" w:cstheme="minorHAnsi"/>
          <w:b/>
          <w:bCs/>
          <w:sz w:val="24"/>
          <w:szCs w:val="24"/>
        </w:rPr>
        <w:t>DNA Sequencing Facility</w:t>
      </w:r>
    </w:p>
    <w:p w:rsidR="00522682" w:rsidRPr="00212068" w:rsidRDefault="00522682" w:rsidP="000F61E3">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rPr>
      </w:pPr>
      <w:r w:rsidRPr="00212068">
        <w:rPr>
          <w:rFonts w:ascii="Century Gothic" w:eastAsia="Times New Roman" w:hAnsi="Century Gothic" w:cs="Times New Roman"/>
          <w:b/>
          <w:bCs/>
          <w:color w:val="000000"/>
          <w:sz w:val="24"/>
          <w:szCs w:val="24"/>
        </w:rPr>
        <w:t>DNA Sequencing</w:t>
      </w:r>
    </w:p>
    <w:p w:rsidR="00522682" w:rsidRPr="00212068" w:rsidRDefault="00522682" w:rsidP="00522682">
      <w:pPr>
        <w:shd w:val="clear" w:color="auto" w:fill="FFFFFF"/>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hAnsi="Century Gothic" w:cs="Times New Roman"/>
          <w:sz w:val="24"/>
          <w:szCs w:val="24"/>
        </w:rPr>
        <w:t xml:space="preserve"> We offer DNA Sequencing service utilizing the Applied Biosystems 3730 DNA Analyzer using </w:t>
      </w:r>
      <w:proofErr w:type="spellStart"/>
      <w:r w:rsidRPr="00212068">
        <w:rPr>
          <w:rFonts w:ascii="Century Gothic" w:hAnsi="Century Gothic" w:cs="Times New Roman"/>
          <w:sz w:val="24"/>
          <w:szCs w:val="24"/>
        </w:rPr>
        <w:t>BigDye</w:t>
      </w:r>
      <w:proofErr w:type="spellEnd"/>
      <w:r w:rsidRPr="00212068">
        <w:rPr>
          <w:rFonts w:ascii="Century Gothic" w:hAnsi="Century Gothic" w:cs="Times New Roman"/>
          <w:sz w:val="24"/>
          <w:szCs w:val="24"/>
        </w:rPr>
        <w:t xml:space="preserve"> chemistry. Customer data is downloadable directly from our secure server. We have three sample drop off sites on campus for the convenience of our customers.  Trouble shooting</w:t>
      </w:r>
    </w:p>
    <w:p w:rsidR="00522682" w:rsidRPr="00212068" w:rsidRDefault="00522682" w:rsidP="000F61E3">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rPr>
      </w:pPr>
      <w:r w:rsidRPr="00212068">
        <w:rPr>
          <w:rFonts w:ascii="Century Gothic" w:eastAsia="Times New Roman" w:hAnsi="Century Gothic" w:cs="Times New Roman"/>
          <w:b/>
          <w:bCs/>
          <w:color w:val="000000"/>
          <w:sz w:val="24"/>
          <w:szCs w:val="24"/>
        </w:rPr>
        <w:t xml:space="preserve">Custom </w:t>
      </w:r>
      <w:proofErr w:type="spellStart"/>
      <w:r w:rsidRPr="00212068">
        <w:rPr>
          <w:rFonts w:ascii="Century Gothic" w:eastAsia="Times New Roman" w:hAnsi="Century Gothic" w:cs="Times New Roman"/>
          <w:b/>
          <w:bCs/>
          <w:color w:val="000000"/>
          <w:sz w:val="24"/>
          <w:szCs w:val="24"/>
        </w:rPr>
        <w:t>Oligos</w:t>
      </w:r>
      <w:proofErr w:type="spellEnd"/>
    </w:p>
    <w:p w:rsidR="00522682" w:rsidRPr="00212068" w:rsidRDefault="00522682" w:rsidP="00522682">
      <w:pPr>
        <w:shd w:val="clear" w:color="auto" w:fill="FFFFFF"/>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bCs/>
          <w:color w:val="000000"/>
          <w:sz w:val="24"/>
          <w:szCs w:val="24"/>
        </w:rPr>
        <w:t xml:space="preserve">Custom </w:t>
      </w:r>
      <w:proofErr w:type="spellStart"/>
      <w:r w:rsidRPr="00212068">
        <w:rPr>
          <w:rFonts w:ascii="Century Gothic" w:eastAsia="Times New Roman" w:hAnsi="Century Gothic" w:cs="Times New Roman"/>
          <w:bCs/>
          <w:color w:val="000000"/>
          <w:sz w:val="24"/>
          <w:szCs w:val="24"/>
        </w:rPr>
        <w:t>Oligos</w:t>
      </w:r>
      <w:proofErr w:type="spellEnd"/>
      <w:r w:rsidRPr="00212068">
        <w:rPr>
          <w:rFonts w:ascii="Century Gothic" w:eastAsia="Times New Roman" w:hAnsi="Century Gothic" w:cs="Times New Roman"/>
          <w:bCs/>
          <w:color w:val="000000"/>
          <w:sz w:val="24"/>
          <w:szCs w:val="24"/>
        </w:rPr>
        <w:t xml:space="preserve"> can be ordered from Eurofins Genomics through our portal and delivered to your lab.  Benefits include lower per base cost and no shipping charges.</w:t>
      </w:r>
    </w:p>
    <w:p w:rsidR="00522682" w:rsidRPr="00212068" w:rsidRDefault="00522682" w:rsidP="000F61E3">
      <w:pPr>
        <w:spacing w:before="100" w:beforeAutospacing="1" w:after="100" w:afterAutospacing="1" w:line="240" w:lineRule="auto"/>
        <w:jc w:val="center"/>
        <w:rPr>
          <w:rFonts w:ascii="Century Gothic" w:eastAsia="Times New Roman" w:hAnsi="Century Gothic" w:cs="Times New Roman"/>
          <w:sz w:val="24"/>
          <w:szCs w:val="24"/>
        </w:rPr>
      </w:pPr>
      <w:r w:rsidRPr="00212068">
        <w:rPr>
          <w:rFonts w:ascii="Century Gothic" w:eastAsia="Times New Roman" w:hAnsi="Century Gothic" w:cs="Times New Roman"/>
          <w:b/>
          <w:bCs/>
          <w:sz w:val="24"/>
          <w:szCs w:val="24"/>
        </w:rPr>
        <w:lastRenderedPageBreak/>
        <w:t>Real-Time PCR Service</w:t>
      </w:r>
    </w:p>
    <w:p w:rsidR="00522682" w:rsidRPr="00212068" w:rsidRDefault="00522682" w:rsidP="00522682">
      <w:p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The UDSF is currently equipped with an MJ Research DNA Engine </w:t>
      </w:r>
      <w:proofErr w:type="spellStart"/>
      <w:r w:rsidRPr="00212068">
        <w:rPr>
          <w:rFonts w:ascii="Century Gothic" w:eastAsia="Times New Roman" w:hAnsi="Century Gothic" w:cs="Times New Roman"/>
          <w:sz w:val="24"/>
          <w:szCs w:val="24"/>
        </w:rPr>
        <w:t>Opticon</w:t>
      </w:r>
      <w:proofErr w:type="spellEnd"/>
      <w:r w:rsidRPr="00212068">
        <w:rPr>
          <w:rFonts w:ascii="Century Gothic" w:eastAsia="Times New Roman" w:hAnsi="Century Gothic" w:cs="Times New Roman"/>
          <w:sz w:val="24"/>
          <w:szCs w:val="24"/>
        </w:rPr>
        <w:t xml:space="preserve"> 2, and Applied Biosystems 7300 Real-Time PCR System.</w:t>
      </w:r>
    </w:p>
    <w:p w:rsidR="00522682" w:rsidRPr="00212068" w:rsidRDefault="00522682" w:rsidP="00522682">
      <w:p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These systems combine the high sensitivity </w:t>
      </w:r>
      <w:proofErr w:type="spellStart"/>
      <w:r w:rsidRPr="00212068">
        <w:rPr>
          <w:rFonts w:ascii="Century Gothic" w:eastAsia="Times New Roman" w:hAnsi="Century Gothic" w:cs="Times New Roman"/>
          <w:sz w:val="24"/>
          <w:szCs w:val="24"/>
        </w:rPr>
        <w:t>SyBr</w:t>
      </w:r>
      <w:proofErr w:type="spellEnd"/>
      <w:r w:rsidRPr="00212068">
        <w:rPr>
          <w:rFonts w:ascii="Century Gothic" w:eastAsia="Times New Roman" w:hAnsi="Century Gothic" w:cs="Times New Roman"/>
          <w:sz w:val="24"/>
          <w:szCs w:val="24"/>
        </w:rPr>
        <w:t xml:space="preserve"> green based real-time PCR with the advantages of a 96-well format.</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Experimental design and data analysis help is available.</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Data analysis software available from the DNA Sequencing Core.</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Results are downloaded from our server.</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One-step or two-step RT-PCR</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A wide variety of technologies requiring dual-dye detection, like </w:t>
      </w:r>
      <w:proofErr w:type="spellStart"/>
      <w:r w:rsidRPr="00212068">
        <w:rPr>
          <w:rFonts w:ascii="Century Gothic" w:eastAsia="Times New Roman" w:hAnsi="Century Gothic" w:cs="Times New Roman"/>
          <w:sz w:val="24"/>
          <w:szCs w:val="24"/>
        </w:rPr>
        <w:t>TaqMan</w:t>
      </w:r>
      <w:proofErr w:type="spellEnd"/>
      <w:r w:rsidRPr="00212068">
        <w:rPr>
          <w:rFonts w:ascii="Century Gothic" w:eastAsia="Times New Roman" w:hAnsi="Century Gothic" w:cs="Times New Roman"/>
          <w:sz w:val="24"/>
          <w:szCs w:val="24"/>
        </w:rPr>
        <w:t>, Molecular Beacons, Scorpion Probes and others can be run.</w:t>
      </w:r>
    </w:p>
    <w:p w:rsidR="00522682" w:rsidRPr="00212068" w:rsidRDefault="00522682" w:rsidP="000F61E3">
      <w:pPr>
        <w:spacing w:before="100" w:beforeAutospacing="1" w:after="100" w:afterAutospacing="1" w:line="240" w:lineRule="auto"/>
        <w:jc w:val="center"/>
        <w:rPr>
          <w:rFonts w:ascii="Century Gothic" w:eastAsia="Times New Roman" w:hAnsi="Century Gothic" w:cs="Times New Roman"/>
          <w:b/>
          <w:sz w:val="24"/>
          <w:szCs w:val="24"/>
        </w:rPr>
      </w:pPr>
      <w:r w:rsidRPr="00212068">
        <w:rPr>
          <w:rFonts w:ascii="Century Gothic" w:eastAsia="Times New Roman" w:hAnsi="Century Gothic" w:cs="Times New Roman"/>
          <w:b/>
          <w:sz w:val="24"/>
          <w:szCs w:val="24"/>
        </w:rPr>
        <w:t>PCR Product Purification</w:t>
      </w:r>
    </w:p>
    <w:p w:rsidR="00522682" w:rsidRPr="00CD223F" w:rsidRDefault="00522682" w:rsidP="00522682">
      <w:pPr>
        <w:spacing w:before="100" w:beforeAutospacing="1" w:after="100" w:afterAutospacing="1" w:line="240" w:lineRule="auto"/>
        <w:rPr>
          <w:rFonts w:ascii="Times New Roman" w:eastAsia="Times New Roman" w:hAnsi="Times New Roman" w:cs="Times New Roman"/>
          <w:b/>
          <w:szCs w:val="24"/>
        </w:rPr>
      </w:pPr>
      <w:r w:rsidRPr="00212068">
        <w:rPr>
          <w:rFonts w:ascii="Century Gothic" w:hAnsi="Century Gothic" w:cs="Times New Roman"/>
          <w:sz w:val="24"/>
          <w:szCs w:val="24"/>
        </w:rPr>
        <w:t xml:space="preserve">The DNA sequencing Core can now save you time and purify your PCR products and setup the sequencing reaction.  Once you complete your PCR reactions you can run a gel to determine which clones to purify or you can submit the entire PCR reaction and we can run your reactions on the </w:t>
      </w:r>
      <w:hyperlink r:id="rId5" w:history="1">
        <w:proofErr w:type="spellStart"/>
        <w:r w:rsidRPr="00212068">
          <w:rPr>
            <w:rStyle w:val="Hyperlink"/>
            <w:rFonts w:ascii="Century Gothic" w:hAnsi="Century Gothic" w:cs="Times New Roman"/>
            <w:sz w:val="24"/>
            <w:szCs w:val="24"/>
          </w:rPr>
          <w:t>QIAxcel</w:t>
        </w:r>
        <w:proofErr w:type="spellEnd"/>
        <w:r w:rsidRPr="00212068">
          <w:rPr>
            <w:rStyle w:val="Hyperlink"/>
            <w:rFonts w:ascii="Century Gothic" w:hAnsi="Century Gothic" w:cs="Times New Roman"/>
            <w:sz w:val="24"/>
            <w:szCs w:val="24"/>
          </w:rPr>
          <w:t xml:space="preserve"> System</w:t>
        </w:r>
      </w:hyperlink>
      <w:r w:rsidRPr="00212068">
        <w:rPr>
          <w:rFonts w:ascii="Century Gothic" w:hAnsi="Century Gothic" w:cs="Times New Roman"/>
          <w:sz w:val="24"/>
          <w:szCs w:val="24"/>
        </w:rPr>
        <w:t xml:space="preserve"> and email you the results and you select the clones for purification.  We will purify the PCR and assemble the sequencing reaction with your provided primer</w:t>
      </w:r>
    </w:p>
    <w:p w:rsidR="00E368A3" w:rsidRDefault="00E368A3" w:rsidP="00E34876">
      <w:pPr>
        <w:spacing w:line="240" w:lineRule="auto"/>
        <w:rPr>
          <w:rFonts w:ascii="Century Gothic" w:hAnsi="Century Gothic"/>
          <w:sz w:val="24"/>
          <w:szCs w:val="24"/>
        </w:rPr>
      </w:pPr>
    </w:p>
    <w:p w:rsidR="00522682" w:rsidRDefault="00522682" w:rsidP="00E34876">
      <w:pPr>
        <w:spacing w:line="240" w:lineRule="auto"/>
        <w:rPr>
          <w:rFonts w:ascii="Century Gothic" w:hAnsi="Century Gothic"/>
          <w:sz w:val="24"/>
          <w:szCs w:val="24"/>
        </w:rPr>
      </w:pPr>
    </w:p>
    <w:p w:rsidR="00E34876" w:rsidRPr="009A4369" w:rsidRDefault="00E34876" w:rsidP="00E34876">
      <w:pPr>
        <w:jc w:val="center"/>
        <w:rPr>
          <w:rFonts w:ascii="Century Gothic" w:hAnsi="Century Gothic" w:cstheme="minorHAnsi"/>
          <w:b/>
          <w:sz w:val="24"/>
          <w:szCs w:val="24"/>
        </w:rPr>
      </w:pPr>
      <w:r w:rsidRPr="009A4369">
        <w:rPr>
          <w:rFonts w:ascii="Century Gothic" w:hAnsi="Century Gothic" w:cstheme="minorHAnsi"/>
          <w:b/>
          <w:sz w:val="24"/>
          <w:szCs w:val="24"/>
        </w:rPr>
        <w:t>Facility for Experimental Radiopharmaceutical Manufacturing (FERM)</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FERM is a comprehensive core for the synthesis and characterization of PET radiopharmaceuticals. We have fully trained staff and validated equipment for the synthesis of cGMP </w:t>
      </w:r>
      <w:r w:rsidRPr="009A4369">
        <w:rPr>
          <w:rFonts w:ascii="Century Gothic" w:hAnsi="Century Gothic" w:cstheme="minorHAnsi"/>
          <w:color w:val="000000"/>
          <w:vertAlign w:val="superscript"/>
        </w:rPr>
        <w:t>18</w:t>
      </w:r>
      <w:r w:rsidRPr="009A4369">
        <w:rPr>
          <w:rFonts w:ascii="Century Gothic" w:hAnsi="Century Gothic" w:cstheme="minorHAnsi"/>
          <w:color w:val="000000"/>
        </w:rPr>
        <w:t>F radiolabeled pharmaceuticals.</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Over 500 </w:t>
      </w:r>
      <w:r w:rsidRPr="009A4369">
        <w:rPr>
          <w:rFonts w:ascii="Century Gothic" w:hAnsi="Century Gothic" w:cstheme="minorHAnsi"/>
          <w:color w:val="000000"/>
          <w:vertAlign w:val="superscript"/>
        </w:rPr>
        <w:t>18</w:t>
      </w:r>
      <w:r w:rsidRPr="009A4369">
        <w:rPr>
          <w:rFonts w:ascii="Century Gothic" w:hAnsi="Century Gothic" w:cstheme="minorHAnsi"/>
          <w:color w:val="000000"/>
        </w:rPr>
        <w:t>F radiopharmaceuticals have been characterized in vivo and over 200 of these used in humans as probes of biological systems and have applications in oncology, cardiology, neurology, psychiatry and drug development (see NIH MICAD database at </w:t>
      </w:r>
      <w:hyperlink r:id="rId6" w:tgtFrame="_blank" w:history="1">
        <w:r w:rsidRPr="009A4369">
          <w:rPr>
            <w:rStyle w:val="Hyperlink"/>
            <w:rFonts w:ascii="Century Gothic" w:eastAsiaTheme="majorEastAsia" w:hAnsi="Century Gothic" w:cstheme="minorHAnsi"/>
          </w:rPr>
          <w:t>http://www.ncbi.nlm.nih.gov/books/NBK5330/</w:t>
        </w:r>
      </w:hyperlink>
      <w:r w:rsidRPr="009A4369">
        <w:rPr>
          <w:rFonts w:ascii="Century Gothic" w:hAnsi="Century Gothic" w:cstheme="minorHAnsi"/>
          <w:color w:val="000000"/>
        </w:rPr>
        <w:t>).</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PET radiopharmaceuticals are generally administered in pharmacologically inactive amounts and are non-toxic. PET tracers are designed to be specific for a defined transport or receptor system and hence enable the probing of basic biochemical processes in real time.</w:t>
      </w:r>
    </w:p>
    <w:p w:rsidR="00E34876" w:rsidRPr="009A4369" w:rsidRDefault="00E34876" w:rsidP="00E34876">
      <w:pPr>
        <w:pStyle w:val="Heading3"/>
        <w:shd w:val="clear" w:color="auto" w:fill="FFFFFF"/>
        <w:spacing w:before="308" w:after="24" w:line="308" w:lineRule="atLeast"/>
        <w:rPr>
          <w:rFonts w:ascii="Century Gothic" w:hAnsi="Century Gothic" w:cstheme="minorHAnsi"/>
          <w:color w:val="auto"/>
        </w:rPr>
      </w:pPr>
      <w:r w:rsidRPr="009A4369">
        <w:rPr>
          <w:rFonts w:ascii="Century Gothic" w:hAnsi="Century Gothic" w:cstheme="minorHAnsi"/>
          <w:color w:val="auto"/>
        </w:rPr>
        <w:lastRenderedPageBreak/>
        <w:t>Services provided</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Full cGMP manufacturing of clinical grade radiopharmaceutical in compliance with FDA and USP guidelines</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Assistance in obtaining local (RDRC) or federal (IND) approval</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Supports both preclinical and clinical PET imaging studies</w:t>
      </w:r>
    </w:p>
    <w:p w:rsidR="00E34876" w:rsidRPr="008030B2" w:rsidRDefault="00E34876" w:rsidP="00E34876">
      <w:pPr>
        <w:shd w:val="clear" w:color="auto" w:fill="FFFFFF"/>
        <w:spacing w:before="100" w:beforeAutospacing="1" w:after="100" w:afterAutospacing="1"/>
        <w:jc w:val="center"/>
        <w:rPr>
          <w:rFonts w:ascii="Century Gothic" w:hAnsi="Century Gothic" w:cstheme="minorHAnsi"/>
          <w:color w:val="000000"/>
          <w:sz w:val="24"/>
          <w:szCs w:val="24"/>
        </w:rPr>
      </w:pPr>
      <w:r w:rsidRPr="008030B2">
        <w:rPr>
          <w:rFonts w:ascii="Century Gothic" w:hAnsi="Century Gothic" w:cstheme="minorHAnsi"/>
          <w:color w:val="000000"/>
          <w:sz w:val="24"/>
          <w:szCs w:val="24"/>
        </w:rPr>
        <w:t>Instrumentation</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At the center of the FERM laboratory is an ISO Class 7 clean </w:t>
      </w:r>
      <w:bookmarkStart w:id="0" w:name="_GoBack"/>
      <w:bookmarkEnd w:id="0"/>
      <w:r w:rsidR="00602419" w:rsidRPr="009A4369">
        <w:rPr>
          <w:rFonts w:ascii="Century Gothic" w:hAnsi="Century Gothic" w:cstheme="minorHAnsi"/>
          <w:color w:val="000000"/>
          <w:sz w:val="24"/>
          <w:szCs w:val="24"/>
        </w:rPr>
        <w:t>room, which</w:t>
      </w:r>
      <w:r w:rsidRPr="009A4369">
        <w:rPr>
          <w:rFonts w:ascii="Century Gothic" w:hAnsi="Century Gothic" w:cstheme="minorHAnsi"/>
          <w:color w:val="000000"/>
          <w:sz w:val="24"/>
          <w:szCs w:val="24"/>
        </w:rPr>
        <w:t xml:space="preserve"> houses three ISO Class 5 hot cells. These hot cells provide a safe working environment to both protect the radiopharmaceutical from biological contamination and protect the operator from radiation.</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Inside the hot cells are automated radiochemistry modules that perform the chemical synthesis and the final purification of the radiopharmaceutical. These radiochemistry modules are part of the triple containment system which retains all radioactivity in the facility during </w:t>
      </w:r>
      <w:proofErr w:type="spellStart"/>
      <w:r w:rsidRPr="009A4369">
        <w:rPr>
          <w:rFonts w:ascii="Century Gothic" w:hAnsi="Century Gothic" w:cstheme="minorHAnsi"/>
          <w:color w:val="000000"/>
          <w:sz w:val="24"/>
          <w:szCs w:val="24"/>
        </w:rPr>
        <w:t>radiosynthesis</w:t>
      </w:r>
      <w:proofErr w:type="spellEnd"/>
      <w:r w:rsidRPr="009A4369">
        <w:rPr>
          <w:rFonts w:ascii="Century Gothic" w:hAnsi="Century Gothic" w:cstheme="minorHAnsi"/>
          <w:color w:val="000000"/>
          <w:sz w:val="24"/>
          <w:szCs w:val="24"/>
        </w:rPr>
        <w:t>. The units are under computer control for rapid and efficient manufacturing of consistent radiopharmaceutical products.</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The FERM cGMP laboratory is equipped with two MIP 1100 hot cells and a Manuela dispensing hot cell with 3" of lead shielding, two </w:t>
      </w:r>
      <w:proofErr w:type="spellStart"/>
      <w:r w:rsidRPr="009A4369">
        <w:rPr>
          <w:rFonts w:ascii="Century Gothic" w:hAnsi="Century Gothic" w:cstheme="minorHAnsi"/>
          <w:color w:val="000000"/>
          <w:sz w:val="24"/>
          <w:szCs w:val="24"/>
        </w:rPr>
        <w:t>TracerLab</w:t>
      </w:r>
      <w:proofErr w:type="spellEnd"/>
      <w:r w:rsidRPr="009A4369">
        <w:rPr>
          <w:rFonts w:ascii="Century Gothic" w:hAnsi="Century Gothic" w:cstheme="minorHAnsi"/>
          <w:color w:val="000000"/>
          <w:sz w:val="24"/>
          <w:szCs w:val="24"/>
        </w:rPr>
        <w:t xml:space="preserve"> FXN pro synthesis modules for multistep nucleophilic fluorination reactions. These modules can accommodate two pot reactions and perform the final reformulation of the radiopharmaceutical in an isotonic form for human administration.</w:t>
      </w:r>
    </w:p>
    <w:p w:rsidR="008030B2" w:rsidRDefault="008030B2" w:rsidP="008030B2">
      <w:pPr>
        <w:spacing w:line="240" w:lineRule="auto"/>
        <w:jc w:val="center"/>
        <w:rPr>
          <w:rFonts w:ascii="Century Gothic" w:hAnsi="Century Gothic"/>
          <w:b/>
          <w:sz w:val="24"/>
          <w:szCs w:val="24"/>
        </w:rPr>
      </w:pPr>
      <w:r w:rsidRPr="003D6D80">
        <w:rPr>
          <w:rFonts w:ascii="Century Gothic" w:hAnsi="Century Gothic"/>
          <w:b/>
          <w:sz w:val="24"/>
          <w:szCs w:val="24"/>
        </w:rPr>
        <w:t>Freezer Farm</w:t>
      </w:r>
    </w:p>
    <w:p w:rsidR="008030B2" w:rsidRDefault="008030B2" w:rsidP="008030B2">
      <w:pPr>
        <w:spacing w:line="240" w:lineRule="auto"/>
        <w:jc w:val="center"/>
        <w:rPr>
          <w:rFonts w:ascii="Century Gothic" w:hAnsi="Century Gothic"/>
          <w:b/>
          <w:sz w:val="24"/>
          <w:szCs w:val="24"/>
        </w:rPr>
      </w:pPr>
    </w:p>
    <w:p w:rsidR="008030B2" w:rsidRPr="003D6D80" w:rsidRDefault="008030B2" w:rsidP="008030B2">
      <w:pPr>
        <w:rPr>
          <w:rFonts w:ascii="Century Gothic" w:eastAsia="Yu Gothic UI Semilight" w:hAnsi="Century Gothic" w:cs="Times New Roman"/>
          <w:color w:val="000000" w:themeColor="text1"/>
          <w:sz w:val="24"/>
          <w:szCs w:val="24"/>
          <w:shd w:val="clear" w:color="auto" w:fill="FFFFFF"/>
        </w:rPr>
      </w:pPr>
      <w:r w:rsidRPr="003D6D80">
        <w:rPr>
          <w:rFonts w:ascii="Century Gothic" w:eastAsia="Yu Gothic UI Semilight" w:hAnsi="Century Gothic" w:cs="Times New Roman"/>
          <w:color w:val="000000" w:themeColor="text1"/>
          <w:sz w:val="24"/>
          <w:szCs w:val="24"/>
          <w:shd w:val="clear" w:color="auto" w:fill="FFFFFF"/>
        </w:rPr>
        <w:t>The Freezer Farm is the newest core facility under the Office of Scientific affairs at the Renaissance School of Medicine. The Freezer Farm aims to provide safe and reliable dry storage at ultra-low temperatures for research samples. The Freezer Farm has eight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 xml:space="preserve">c permanent storage chambers for a total combined storage capacity of over 1.8 million samples. </w:t>
      </w:r>
    </w:p>
    <w:p w:rsidR="008030B2" w:rsidRPr="003D6D80" w:rsidRDefault="008030B2" w:rsidP="008030B2">
      <w:pPr>
        <w:rPr>
          <w:rFonts w:ascii="Century Gothic" w:eastAsia="Yu Gothic UI Semilight" w:hAnsi="Century Gothic" w:cs="Times New Roman"/>
          <w:color w:val="000000" w:themeColor="text1"/>
          <w:sz w:val="24"/>
          <w:szCs w:val="24"/>
          <w:shd w:val="clear" w:color="auto" w:fill="FFFFFF"/>
        </w:rPr>
      </w:pPr>
      <w:r w:rsidRPr="003D6D80">
        <w:rPr>
          <w:rFonts w:ascii="Century Gothic" w:eastAsia="Yu Gothic UI Semilight" w:hAnsi="Century Gothic" w:cs="Times New Roman"/>
          <w:color w:val="000000" w:themeColor="text1"/>
          <w:sz w:val="24"/>
          <w:szCs w:val="24"/>
          <w:shd w:val="clear" w:color="auto" w:fill="FFFFFF"/>
        </w:rPr>
        <w:t>Our Services:</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The Freezer Farm is a great option for investigators with large sample collections that </w:t>
      </w:r>
      <w:proofErr w:type="gramStart"/>
      <w:r w:rsidRPr="003D6D80">
        <w:rPr>
          <w:rFonts w:ascii="Century Gothic" w:eastAsia="Yu Gothic UI Semilight" w:hAnsi="Century Gothic" w:cs="Times New Roman"/>
          <w:color w:val="000000" w:themeColor="text1"/>
          <w:sz w:val="24"/>
          <w:szCs w:val="24"/>
        </w:rPr>
        <w:t>are not currently being used</w:t>
      </w:r>
      <w:proofErr w:type="gramEnd"/>
      <w:r w:rsidRPr="003D6D80">
        <w:rPr>
          <w:rFonts w:ascii="Century Gothic" w:eastAsia="Yu Gothic UI Semilight" w:hAnsi="Century Gothic" w:cs="Times New Roman"/>
          <w:color w:val="000000" w:themeColor="text1"/>
          <w:sz w:val="24"/>
          <w:szCs w:val="24"/>
        </w:rPr>
        <w:t xml:space="preserve"> as part of an active project. The Freezer Farm ensures that Investigators will no longer have to worry about faulty freezers or power outages destroying their irreplaceable samples. There are numerous safety measures in place, which will ensure that no loss of temperature ever </w:t>
      </w:r>
      <w:r w:rsidRPr="003D6D80">
        <w:rPr>
          <w:rFonts w:ascii="Century Gothic" w:eastAsia="Yu Gothic UI Semilight" w:hAnsi="Century Gothic" w:cs="Times New Roman"/>
          <w:color w:val="000000" w:themeColor="text1"/>
          <w:sz w:val="24"/>
          <w:szCs w:val="24"/>
        </w:rPr>
        <w:lastRenderedPageBreak/>
        <w:t xml:space="preserve">affects the Freezer Farm. Storing samples in the Freezer Farm is also a great way to increase the available space in an investigators own lab. Some Investigators have large collections of samples which they are not currently using for research but which are valuable and may be needed in the future. Usually this would pose a problem for their future projects by limiting the amount of new samples, which </w:t>
      </w:r>
      <w:proofErr w:type="gramStart"/>
      <w:r w:rsidRPr="003D6D80">
        <w:rPr>
          <w:rFonts w:ascii="Century Gothic" w:eastAsia="Yu Gothic UI Semilight" w:hAnsi="Century Gothic" w:cs="Times New Roman"/>
          <w:color w:val="000000" w:themeColor="text1"/>
          <w:sz w:val="24"/>
          <w:szCs w:val="24"/>
        </w:rPr>
        <w:t>could be collected</w:t>
      </w:r>
      <w:proofErr w:type="gramEnd"/>
      <w:r w:rsidRPr="003D6D80">
        <w:rPr>
          <w:rFonts w:ascii="Century Gothic" w:eastAsia="Yu Gothic UI Semilight" w:hAnsi="Century Gothic" w:cs="Times New Roman"/>
          <w:color w:val="000000" w:themeColor="text1"/>
          <w:sz w:val="24"/>
          <w:szCs w:val="24"/>
        </w:rPr>
        <w:t xml:space="preserve">. By transferring the samples into the Freezer Farm, investigators can free up space while knowing their samples are safe. The Freezer Farm offers peace of mind, increased space and opportunity for future research along with the storage of samples. All samples stored within the Freezer Farm are barcoded and their location in the Freezer </w:t>
      </w:r>
      <w:proofErr w:type="gramStart"/>
      <w:r w:rsidRPr="003D6D80">
        <w:rPr>
          <w:rFonts w:ascii="Century Gothic" w:eastAsia="Yu Gothic UI Semilight" w:hAnsi="Century Gothic" w:cs="Times New Roman"/>
          <w:color w:val="000000" w:themeColor="text1"/>
          <w:sz w:val="24"/>
          <w:szCs w:val="24"/>
        </w:rPr>
        <w:t>is documented</w:t>
      </w:r>
      <w:proofErr w:type="gramEnd"/>
      <w:r w:rsidRPr="003D6D80">
        <w:rPr>
          <w:rFonts w:ascii="Century Gothic" w:eastAsia="Yu Gothic UI Semilight" w:hAnsi="Century Gothic" w:cs="Times New Roman"/>
          <w:color w:val="000000" w:themeColor="text1"/>
          <w:sz w:val="24"/>
          <w:szCs w:val="24"/>
        </w:rPr>
        <w:t xml:space="preserve"> to make finding the samples in the future quick and easy. </w:t>
      </w:r>
    </w:p>
    <w:p w:rsidR="008030B2" w:rsidRPr="003D6D80" w:rsidRDefault="008030B2" w:rsidP="008030B2">
      <w:pPr>
        <w:rPr>
          <w:rFonts w:ascii="Century Gothic" w:eastAsia="Yu Gothic UI Semilight" w:hAnsi="Century Gothic" w:cs="Times New Roman"/>
          <w:color w:val="000000" w:themeColor="text1"/>
          <w:sz w:val="24"/>
          <w:szCs w:val="24"/>
        </w:rPr>
      </w:pPr>
    </w:p>
    <w:p w:rsidR="008030B2" w:rsidRPr="008030B2" w:rsidRDefault="008030B2" w:rsidP="008030B2">
      <w:pPr>
        <w:jc w:val="center"/>
        <w:rPr>
          <w:rFonts w:ascii="Century Gothic" w:eastAsia="Yu Gothic UI Semilight" w:hAnsi="Century Gothic" w:cs="Times New Roman"/>
          <w:color w:val="000000" w:themeColor="text1"/>
          <w:sz w:val="24"/>
          <w:szCs w:val="24"/>
        </w:rPr>
      </w:pPr>
      <w:r w:rsidRPr="008030B2">
        <w:rPr>
          <w:rFonts w:ascii="Century Gothic" w:eastAsia="Yu Gothic UI Semilight" w:hAnsi="Century Gothic" w:cs="Times New Roman"/>
          <w:color w:val="000000" w:themeColor="text1"/>
          <w:sz w:val="24"/>
          <w:szCs w:val="24"/>
        </w:rPr>
        <w:t>Facilities and Safety Measures:</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The permanent storage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t>
      </w:r>
      <w:proofErr w:type="gramStart"/>
      <w:r w:rsidRPr="003D6D80">
        <w:rPr>
          <w:rFonts w:ascii="Century Gothic" w:eastAsia="Yu Gothic UI Semilight" w:hAnsi="Century Gothic" w:cs="Times New Roman"/>
          <w:color w:val="000000" w:themeColor="text1"/>
          <w:sz w:val="24"/>
          <w:szCs w:val="24"/>
        </w:rPr>
        <w:t>are situated</w:t>
      </w:r>
      <w:proofErr w:type="gramEnd"/>
      <w:r w:rsidRPr="003D6D80">
        <w:rPr>
          <w:rFonts w:ascii="Century Gothic" w:eastAsia="Yu Gothic UI Semilight" w:hAnsi="Century Gothic" w:cs="Times New Roman"/>
          <w:color w:val="000000" w:themeColor="text1"/>
          <w:sz w:val="24"/>
          <w:szCs w:val="24"/>
        </w:rPr>
        <w:t xml:space="preserve"> within a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 in chamber. Manufactured by </w:t>
      </w:r>
      <w:proofErr w:type="spellStart"/>
      <w:r w:rsidRPr="003D6D80">
        <w:rPr>
          <w:rFonts w:ascii="Century Gothic" w:eastAsia="Yu Gothic UI Semilight" w:hAnsi="Century Gothic" w:cs="Times New Roman"/>
          <w:color w:val="000000" w:themeColor="text1"/>
          <w:sz w:val="24"/>
          <w:szCs w:val="24"/>
        </w:rPr>
        <w:t>Bahnson</w:t>
      </w:r>
      <w:proofErr w:type="spellEnd"/>
      <w:r w:rsidRPr="003D6D80">
        <w:rPr>
          <w:rFonts w:ascii="Century Gothic" w:eastAsia="Yu Gothic UI Semilight" w:hAnsi="Century Gothic" w:cs="Times New Roman"/>
          <w:color w:val="000000" w:themeColor="text1"/>
          <w:sz w:val="24"/>
          <w:szCs w:val="24"/>
        </w:rPr>
        <w:t xml:space="preserve"> Environmental Systems, this set up allows for greater storage space at a much lower energy expenditure than traditional upright and chest freezers commonly used for sample storage.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There are extensive safety measures in place to ensure that no loss of temperature will affect the samples stored within the Freezer Farm. The measures in place </w:t>
      </w:r>
      <w:proofErr w:type="gramStart"/>
      <w:r w:rsidRPr="003D6D80">
        <w:rPr>
          <w:rFonts w:ascii="Century Gothic" w:eastAsia="Yu Gothic UI Semilight" w:hAnsi="Century Gothic" w:cs="Times New Roman"/>
          <w:color w:val="000000" w:themeColor="text1"/>
          <w:sz w:val="24"/>
          <w:szCs w:val="24"/>
        </w:rPr>
        <w:t>are designed</w:t>
      </w:r>
      <w:proofErr w:type="gramEnd"/>
      <w:r w:rsidRPr="003D6D80">
        <w:rPr>
          <w:rFonts w:ascii="Century Gothic" w:eastAsia="Yu Gothic UI Semilight" w:hAnsi="Century Gothic" w:cs="Times New Roman"/>
          <w:color w:val="000000" w:themeColor="text1"/>
          <w:sz w:val="24"/>
          <w:szCs w:val="24"/>
        </w:rPr>
        <w:t xml:space="preserve"> to account for equipment failure, power outages, and natural disasters. The temperature of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and each of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are monitored on an </w:t>
      </w:r>
      <w:proofErr w:type="spellStart"/>
      <w:r w:rsidRPr="003D6D80">
        <w:rPr>
          <w:rFonts w:ascii="Century Gothic" w:eastAsia="Yu Gothic UI Semilight" w:hAnsi="Century Gothic" w:cs="Times New Roman"/>
          <w:color w:val="000000" w:themeColor="text1"/>
          <w:sz w:val="24"/>
          <w:szCs w:val="24"/>
        </w:rPr>
        <w:t>Alerton</w:t>
      </w:r>
      <w:proofErr w:type="spellEnd"/>
      <w:r w:rsidRPr="003D6D80">
        <w:rPr>
          <w:rFonts w:ascii="Century Gothic" w:eastAsia="Yu Gothic UI Semilight" w:hAnsi="Century Gothic" w:cs="Times New Roman"/>
          <w:color w:val="000000" w:themeColor="text1"/>
          <w:sz w:val="24"/>
          <w:szCs w:val="24"/>
        </w:rPr>
        <w:t xml:space="preserve"> system which will alarm in the event of a loss in temperature or door being left open for an excessive amount of time. In the event of an alarm, there are a number of individuals who </w:t>
      </w:r>
      <w:proofErr w:type="gramStart"/>
      <w:r w:rsidRPr="003D6D80">
        <w:rPr>
          <w:rFonts w:ascii="Century Gothic" w:eastAsia="Yu Gothic UI Semilight" w:hAnsi="Century Gothic" w:cs="Times New Roman"/>
          <w:color w:val="000000" w:themeColor="text1"/>
          <w:sz w:val="24"/>
          <w:szCs w:val="24"/>
        </w:rPr>
        <w:t>will be contacted</w:t>
      </w:r>
      <w:proofErr w:type="gramEnd"/>
      <w:r w:rsidRPr="003D6D80">
        <w:rPr>
          <w:rFonts w:ascii="Century Gothic" w:eastAsia="Yu Gothic UI Semilight" w:hAnsi="Century Gothic" w:cs="Times New Roman"/>
          <w:color w:val="000000" w:themeColor="text1"/>
          <w:sz w:val="24"/>
          <w:szCs w:val="24"/>
        </w:rPr>
        <w:t xml:space="preserve"> to assess the situation and ensure all samples are safe while the issue is being resolved.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t>
      </w:r>
      <w:proofErr w:type="gramStart"/>
      <w:r w:rsidRPr="003D6D80">
        <w:rPr>
          <w:rFonts w:ascii="Century Gothic" w:eastAsia="Yu Gothic UI Semilight" w:hAnsi="Century Gothic" w:cs="Times New Roman"/>
          <w:color w:val="000000" w:themeColor="text1"/>
          <w:sz w:val="24"/>
          <w:szCs w:val="24"/>
        </w:rPr>
        <w:t>are powered</w:t>
      </w:r>
      <w:proofErr w:type="gramEnd"/>
      <w:r w:rsidRPr="003D6D80">
        <w:rPr>
          <w:rFonts w:ascii="Century Gothic" w:eastAsia="Yu Gothic UI Semilight" w:hAnsi="Century Gothic" w:cs="Times New Roman"/>
          <w:color w:val="000000" w:themeColor="text1"/>
          <w:sz w:val="24"/>
          <w:szCs w:val="24"/>
        </w:rPr>
        <w:t xml:space="preserve"> from one of two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compressors. These compressors operate on a lead-lag system. Each compressor runs for twenty-four hours before switching over to the other one, this keeps the compressors exercised which will prolong the life of the equipment and ensure that both are in working order in the event that one compressor becomes unusable. In the event one of the compressors malfunctions, the other will take over and operate continuously until the damaged compressor </w:t>
      </w:r>
      <w:proofErr w:type="gramStart"/>
      <w:r w:rsidRPr="003D6D80">
        <w:rPr>
          <w:rFonts w:ascii="Century Gothic" w:eastAsia="Yu Gothic UI Semilight" w:hAnsi="Century Gothic" w:cs="Times New Roman"/>
          <w:color w:val="000000" w:themeColor="text1"/>
          <w:sz w:val="24"/>
          <w:szCs w:val="24"/>
        </w:rPr>
        <w:t>can be repaired</w:t>
      </w:r>
      <w:proofErr w:type="gramEnd"/>
      <w:r w:rsidRPr="003D6D80">
        <w:rPr>
          <w:rFonts w:ascii="Century Gothic" w:eastAsia="Yu Gothic UI Semilight" w:hAnsi="Century Gothic" w:cs="Times New Roman"/>
          <w:color w:val="000000" w:themeColor="text1"/>
          <w:sz w:val="24"/>
          <w:szCs w:val="24"/>
        </w:rPr>
        <w:t xml:space="preserve">. In the event of a power outage, the Freezer Farm </w:t>
      </w:r>
      <w:proofErr w:type="gramStart"/>
      <w:r w:rsidRPr="003D6D80">
        <w:rPr>
          <w:rFonts w:ascii="Century Gothic" w:eastAsia="Yu Gothic UI Semilight" w:hAnsi="Century Gothic" w:cs="Times New Roman"/>
          <w:color w:val="000000" w:themeColor="text1"/>
          <w:sz w:val="24"/>
          <w:szCs w:val="24"/>
        </w:rPr>
        <w:t>is hooked up</w:t>
      </w:r>
      <w:proofErr w:type="gramEnd"/>
      <w:r w:rsidRPr="003D6D80">
        <w:rPr>
          <w:rFonts w:ascii="Century Gothic" w:eastAsia="Yu Gothic UI Semilight" w:hAnsi="Century Gothic" w:cs="Times New Roman"/>
          <w:color w:val="000000" w:themeColor="text1"/>
          <w:sz w:val="24"/>
          <w:szCs w:val="24"/>
        </w:rPr>
        <w:t xml:space="preserve"> to the hospital’s emergency generator with the highest level of priority. In the extremely unlikely event, that both the hospital power and generator are non-functional there is a back-up liquid nitrogen infusion system, which can keep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at temperature for about 6 hours per tank. In the event that the liquid nitrogen will </w:t>
      </w:r>
      <w:r w:rsidRPr="003D6D80">
        <w:rPr>
          <w:rFonts w:ascii="Century Gothic" w:eastAsia="Yu Gothic UI Semilight" w:hAnsi="Century Gothic" w:cs="Times New Roman"/>
          <w:color w:val="000000" w:themeColor="text1"/>
          <w:sz w:val="24"/>
          <w:szCs w:val="24"/>
        </w:rPr>
        <w:lastRenderedPageBreak/>
        <w:t xml:space="preserve">be needed for an extended period, there is a system in place where a micro bulk truck with liquid nitrogen can be parked in the loading dock and hooked up to our Liquid Nitrogen infusion system to cool the Freezer Farm. In addition, due to the way the chambers </w:t>
      </w:r>
      <w:proofErr w:type="gramStart"/>
      <w:r w:rsidRPr="003D6D80">
        <w:rPr>
          <w:rFonts w:ascii="Century Gothic" w:eastAsia="Yu Gothic UI Semilight" w:hAnsi="Century Gothic" w:cs="Times New Roman"/>
          <w:color w:val="000000" w:themeColor="text1"/>
          <w:sz w:val="24"/>
          <w:szCs w:val="24"/>
        </w:rPr>
        <w:t>are situated</w:t>
      </w:r>
      <w:proofErr w:type="gramEnd"/>
      <w:r w:rsidRPr="003D6D80">
        <w:rPr>
          <w:rFonts w:ascii="Century Gothic" w:eastAsia="Yu Gothic UI Semilight" w:hAnsi="Century Gothic" w:cs="Times New Roman"/>
          <w:color w:val="000000" w:themeColor="text1"/>
          <w:sz w:val="24"/>
          <w:szCs w:val="24"/>
        </w:rPr>
        <w:t xml:space="preserve"> within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as long as the doors are not opened the chambers will remain at temperature for 8 hours without power.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In addition to the safety measures against temperature fluctuations, the Freezer Farm is also strictly access controlled. </w:t>
      </w:r>
      <w:proofErr w:type="gramStart"/>
      <w:r w:rsidRPr="003D6D80">
        <w:rPr>
          <w:rFonts w:ascii="Century Gothic" w:eastAsia="Yu Gothic UI Semilight" w:hAnsi="Century Gothic" w:cs="Times New Roman"/>
          <w:color w:val="000000" w:themeColor="text1"/>
          <w:sz w:val="24"/>
          <w:szCs w:val="24"/>
        </w:rPr>
        <w:t>A limited amount of people have</w:t>
      </w:r>
      <w:proofErr w:type="gramEnd"/>
      <w:r w:rsidRPr="003D6D80">
        <w:rPr>
          <w:rFonts w:ascii="Century Gothic" w:eastAsia="Yu Gothic UI Semilight" w:hAnsi="Century Gothic" w:cs="Times New Roman"/>
          <w:color w:val="000000" w:themeColor="text1"/>
          <w:sz w:val="24"/>
          <w:szCs w:val="24"/>
        </w:rPr>
        <w:t xml:space="preserve"> access to the area and the doors are monitored by video to record anyone who enters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to access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We know that the samples being stored within the Freezer Farm are extremely valuable and irreplaceable so we have taken extensive measures in protecting them </w:t>
      </w:r>
    </w:p>
    <w:p w:rsidR="008030B2" w:rsidRPr="003D6D80" w:rsidRDefault="008030B2" w:rsidP="008030B2">
      <w:pPr>
        <w:rPr>
          <w:rFonts w:ascii="Century Gothic" w:hAnsi="Century Gothic"/>
        </w:rPr>
      </w:pPr>
    </w:p>
    <w:p w:rsidR="00393090" w:rsidRPr="009A4369"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Research Flow Cytometry</w:t>
      </w:r>
    </w:p>
    <w:p w:rsidR="00E34876" w:rsidRDefault="00393090" w:rsidP="00393090">
      <w:pPr>
        <w:spacing w:line="240" w:lineRule="auto"/>
        <w:rPr>
          <w:rFonts w:ascii="Century Gothic" w:hAnsi="Century Gothic"/>
          <w:color w:val="000000"/>
          <w:sz w:val="24"/>
          <w:szCs w:val="24"/>
          <w:shd w:val="clear" w:color="auto" w:fill="FFFFFF"/>
        </w:rPr>
      </w:pPr>
      <w:r w:rsidRPr="009A4369">
        <w:rPr>
          <w:rFonts w:ascii="Century Gothic" w:hAnsi="Century Gothic"/>
          <w:color w:val="000000"/>
          <w:sz w:val="24"/>
          <w:szCs w:val="24"/>
          <w:shd w:val="clear" w:color="auto" w:fill="FFFFFF"/>
        </w:rPr>
        <w:t xml:space="preserve">The Research Flow Cytometry laboratory is a nonprofit joint venture between the School of Medicine and University Hospital. The Laboratory is part of the Clinical Immunology and is housed in University Hospital. The laboratory is equipped with a 2-laser Becton Dickinson </w:t>
      </w:r>
      <w:proofErr w:type="spellStart"/>
      <w:r w:rsidRPr="009A4369">
        <w:rPr>
          <w:rFonts w:ascii="Century Gothic" w:hAnsi="Century Gothic"/>
          <w:color w:val="000000"/>
          <w:sz w:val="24"/>
          <w:szCs w:val="24"/>
          <w:shd w:val="clear" w:color="auto" w:fill="FFFFFF"/>
        </w:rPr>
        <w:t>FACSCalibur</w:t>
      </w:r>
      <w:proofErr w:type="spellEnd"/>
      <w:r w:rsidRPr="009A4369">
        <w:rPr>
          <w:rFonts w:ascii="Century Gothic" w:hAnsi="Century Gothic"/>
          <w:color w:val="000000"/>
          <w:sz w:val="24"/>
          <w:szCs w:val="24"/>
          <w:shd w:val="clear" w:color="auto" w:fill="FFFFFF"/>
        </w:rPr>
        <w:t xml:space="preserve"> analyzer, a 4-laser Becton Dickinson </w:t>
      </w:r>
      <w:proofErr w:type="spellStart"/>
      <w:r w:rsidRPr="009A4369">
        <w:rPr>
          <w:rFonts w:ascii="Century Gothic" w:hAnsi="Century Gothic"/>
          <w:color w:val="000000"/>
          <w:sz w:val="24"/>
          <w:szCs w:val="24"/>
          <w:shd w:val="clear" w:color="auto" w:fill="FFFFFF"/>
        </w:rPr>
        <w:t>LSRFortessa</w:t>
      </w:r>
      <w:proofErr w:type="spellEnd"/>
      <w:r w:rsidRPr="009A4369">
        <w:rPr>
          <w:rFonts w:ascii="Century Gothic" w:hAnsi="Century Gothic"/>
          <w:color w:val="000000"/>
          <w:sz w:val="24"/>
          <w:szCs w:val="24"/>
          <w:shd w:val="clear" w:color="auto" w:fill="FFFFFF"/>
        </w:rPr>
        <w:t xml:space="preserve"> analyzer, and a 5-laser Becton Dickinson </w:t>
      </w:r>
      <w:proofErr w:type="spellStart"/>
      <w:r w:rsidRPr="009A4369">
        <w:rPr>
          <w:rFonts w:ascii="Century Gothic" w:hAnsi="Century Gothic"/>
          <w:color w:val="000000"/>
          <w:sz w:val="24"/>
          <w:szCs w:val="24"/>
          <w:shd w:val="clear" w:color="auto" w:fill="FFFFFF"/>
        </w:rPr>
        <w:t>FACSAria</w:t>
      </w:r>
      <w:proofErr w:type="spellEnd"/>
      <w:r w:rsidRPr="009A4369">
        <w:rPr>
          <w:rFonts w:ascii="Century Gothic" w:hAnsi="Century Gothic"/>
          <w:color w:val="000000"/>
          <w:sz w:val="24"/>
          <w:szCs w:val="24"/>
          <w:shd w:val="clear" w:color="auto" w:fill="FFFFFF"/>
        </w:rPr>
        <w:t xml:space="preserve"> </w:t>
      </w:r>
      <w:proofErr w:type="spellStart"/>
      <w:r w:rsidRPr="009A4369">
        <w:rPr>
          <w:rFonts w:ascii="Century Gothic" w:hAnsi="Century Gothic"/>
          <w:color w:val="000000"/>
          <w:sz w:val="24"/>
          <w:szCs w:val="24"/>
          <w:shd w:val="clear" w:color="auto" w:fill="FFFFFF"/>
        </w:rPr>
        <w:t>IIIu</w:t>
      </w:r>
      <w:proofErr w:type="spellEnd"/>
      <w:r w:rsidRPr="009A4369">
        <w:rPr>
          <w:rFonts w:ascii="Century Gothic" w:hAnsi="Century Gothic"/>
          <w:color w:val="000000"/>
          <w:sz w:val="24"/>
          <w:szCs w:val="24"/>
          <w:shd w:val="clear" w:color="auto" w:fill="FFFFFF"/>
        </w:rPr>
        <w:t xml:space="preserve"> cell sorter</w:t>
      </w:r>
    </w:p>
    <w:p w:rsidR="00EF4BC1" w:rsidRDefault="00EF4BC1" w:rsidP="00393090">
      <w:pPr>
        <w:shd w:val="clear" w:color="auto" w:fill="FFFFFF"/>
        <w:spacing w:before="100" w:beforeAutospacing="1" w:after="100" w:afterAutospacing="1"/>
        <w:jc w:val="center"/>
        <w:rPr>
          <w:rFonts w:ascii="Century Gothic" w:hAnsi="Century Gothic" w:cstheme="minorHAnsi"/>
          <w:b/>
          <w:bCs/>
          <w:color w:val="000000"/>
          <w:sz w:val="24"/>
          <w:szCs w:val="24"/>
        </w:rPr>
      </w:pP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Genomics Core Facility</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t>The Stony Brook University Genomics Core Facility, founded in 2000, aims to provide scientists with the tools required to maximize their research related to genetics/genomics. The Genomics Core serves researchers at Stony Brook as well as researchers at other institutions, with a number of genomic technologies and expertise. We offer Sanger DNA sequencing; genotyping; quantitative PCR analysis (including digital PCR); Microarray Analysis (</w:t>
      </w:r>
      <w:proofErr w:type="spellStart"/>
      <w:r w:rsidRPr="009A4369">
        <w:rPr>
          <w:rFonts w:ascii="Century Gothic" w:hAnsi="Century Gothic"/>
          <w:color w:val="000000"/>
          <w:sz w:val="24"/>
          <w:szCs w:val="24"/>
        </w:rPr>
        <w:t>Affymetrix</w:t>
      </w:r>
      <w:proofErr w:type="spellEnd"/>
      <w:r w:rsidRPr="009A4369">
        <w:rPr>
          <w:rFonts w:ascii="Century Gothic" w:hAnsi="Century Gothic"/>
          <w:color w:val="000000"/>
          <w:sz w:val="24"/>
          <w:szCs w:val="24"/>
        </w:rPr>
        <w:t xml:space="preserve"> and Agilent platforms) and </w:t>
      </w:r>
      <w:proofErr w:type="spellStart"/>
      <w:r w:rsidRPr="009A4369">
        <w:rPr>
          <w:rFonts w:ascii="Century Gothic" w:hAnsi="Century Gothic"/>
          <w:color w:val="000000"/>
          <w:sz w:val="24"/>
          <w:szCs w:val="24"/>
        </w:rPr>
        <w:t>Luminex</w:t>
      </w:r>
      <w:proofErr w:type="spellEnd"/>
      <w:r w:rsidRPr="009A4369">
        <w:rPr>
          <w:rFonts w:ascii="Century Gothic" w:hAnsi="Century Gothic"/>
          <w:color w:val="000000"/>
          <w:sz w:val="24"/>
          <w:szCs w:val="24"/>
        </w:rPr>
        <w:t xml:space="preserve"> X MAP technology for transcript detection/quantification and multiplex </w:t>
      </w:r>
      <w:proofErr w:type="gramStart"/>
      <w:r w:rsidRPr="009A4369">
        <w:rPr>
          <w:rFonts w:ascii="Century Gothic" w:hAnsi="Century Gothic"/>
          <w:color w:val="000000"/>
          <w:sz w:val="24"/>
          <w:szCs w:val="24"/>
        </w:rPr>
        <w:t>ELISA .</w:t>
      </w:r>
      <w:proofErr w:type="gramEnd"/>
      <w:r w:rsidRPr="009A4369">
        <w:rPr>
          <w:rFonts w:ascii="Century Gothic" w:hAnsi="Century Gothic"/>
          <w:color w:val="000000"/>
          <w:sz w:val="24"/>
          <w:szCs w:val="24"/>
        </w:rPr>
        <w:t xml:space="preserve"> The Genomics Core Facility is equipped with various systems for sample quality control (RNA integrity evaluation using capillary electrophoresis); DNA and RNA concentration measurement (using fluorescent and spectroscopic methods) and PCR optimization (gradient PCR, capillary electrophoresis to detect/quantify PCR products). </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lastRenderedPageBreak/>
        <w:t xml:space="preserve">In addition to these traditional technologies, we offer pyrosequencing services. Pyrosequencing is a highly quantitative sequencing method that relies on the detection of light. It is used in a variety of applications including genotyping analysis, DNA methylation studies (measurement of methylation of individual </w:t>
      </w:r>
      <w:proofErr w:type="spellStart"/>
      <w:r w:rsidRPr="009A4369">
        <w:rPr>
          <w:rFonts w:ascii="Century Gothic" w:hAnsi="Century Gothic"/>
          <w:color w:val="000000"/>
          <w:sz w:val="24"/>
          <w:szCs w:val="24"/>
        </w:rPr>
        <w:t>CpG</w:t>
      </w:r>
      <w:proofErr w:type="spellEnd"/>
      <w:r w:rsidRPr="009A4369">
        <w:rPr>
          <w:rFonts w:ascii="Century Gothic" w:hAnsi="Century Gothic"/>
          <w:color w:val="000000"/>
          <w:sz w:val="24"/>
          <w:szCs w:val="24"/>
        </w:rPr>
        <w:t xml:space="preserve"> islands) and detection and accurate quantification of rare/mosaic mutations. </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t xml:space="preserve">Using an individual approach to every customer, we consult on experiment design and controls, run the experiment and help with data analysis to meet client’s needs. </w:t>
      </w:r>
    </w:p>
    <w:p w:rsidR="00393090" w:rsidRPr="008030B2" w:rsidRDefault="00393090" w:rsidP="00393090">
      <w:pPr>
        <w:shd w:val="clear" w:color="auto" w:fill="FFFFFF"/>
        <w:spacing w:before="100" w:beforeAutospacing="1" w:line="240" w:lineRule="auto"/>
        <w:jc w:val="center"/>
        <w:rPr>
          <w:rFonts w:ascii="Century Gothic" w:hAnsi="Century Gothic"/>
          <w:bCs/>
          <w:color w:val="000000"/>
          <w:sz w:val="24"/>
          <w:szCs w:val="24"/>
        </w:rPr>
      </w:pPr>
      <w:r w:rsidRPr="008030B2">
        <w:rPr>
          <w:rFonts w:ascii="Century Gothic" w:hAnsi="Century Gothic"/>
          <w:bCs/>
          <w:color w:val="000000"/>
          <w:sz w:val="24"/>
          <w:szCs w:val="24"/>
        </w:rPr>
        <w:t>Services Offered:</w:t>
      </w:r>
    </w:p>
    <w:p w:rsidR="00393090" w:rsidRPr="00393090" w:rsidRDefault="00393090" w:rsidP="00393090">
      <w:pPr>
        <w:pStyle w:val="ListParagraph"/>
        <w:numPr>
          <w:ilvl w:val="0"/>
          <w:numId w:val="16"/>
        </w:numPr>
        <w:shd w:val="clear" w:color="auto" w:fill="FFFFFF"/>
        <w:spacing w:before="100" w:beforeAutospacing="1"/>
        <w:rPr>
          <w:rFonts w:ascii="Century Gothic" w:hAnsi="Century Gothic"/>
          <w:color w:val="000000"/>
          <w:sz w:val="24"/>
          <w:szCs w:val="24"/>
        </w:rPr>
      </w:pPr>
      <w:r w:rsidRPr="00393090">
        <w:rPr>
          <w:rFonts w:ascii="Century Gothic" w:hAnsi="Century Gothic"/>
          <w:color w:val="000000"/>
          <w:sz w:val="24"/>
          <w:szCs w:val="24"/>
        </w:rPr>
        <w:t xml:space="preserve">Sanger DNA Sequencing </w:t>
      </w:r>
      <w:r w:rsidRPr="00393090">
        <w:rPr>
          <w:rFonts w:ascii="Century Gothic" w:hAnsi="Century Gothic"/>
          <w:color w:val="000000"/>
          <w:sz w:val="24"/>
          <w:szCs w:val="24"/>
        </w:rPr>
        <w:br/>
        <w:t xml:space="preserve">Microarray Services (Gene Expression, miRNA using </w:t>
      </w:r>
      <w:proofErr w:type="spellStart"/>
      <w:r w:rsidRPr="00393090">
        <w:rPr>
          <w:rFonts w:ascii="Century Gothic" w:hAnsi="Century Gothic"/>
          <w:color w:val="000000"/>
          <w:sz w:val="24"/>
          <w:szCs w:val="24"/>
        </w:rPr>
        <w:t>Affymetrix</w:t>
      </w:r>
      <w:proofErr w:type="spellEnd"/>
      <w:r w:rsidRPr="00393090">
        <w:rPr>
          <w:rFonts w:ascii="Century Gothic" w:hAnsi="Century Gothic"/>
          <w:color w:val="000000"/>
          <w:sz w:val="24"/>
          <w:szCs w:val="24"/>
        </w:rPr>
        <w:t xml:space="preserve"> and Agilent platforms)</w:t>
      </w:r>
    </w:p>
    <w:p w:rsidR="00393090" w:rsidRPr="00393090" w:rsidRDefault="00393090" w:rsidP="00393090">
      <w:pPr>
        <w:pStyle w:val="ListParagraph"/>
        <w:numPr>
          <w:ilvl w:val="0"/>
          <w:numId w:val="16"/>
        </w:numPr>
        <w:shd w:val="clear" w:color="auto" w:fill="FFFFFF"/>
        <w:spacing w:before="100" w:beforeAutospacing="1"/>
        <w:rPr>
          <w:rFonts w:ascii="Century Gothic" w:hAnsi="Century Gothic"/>
          <w:color w:val="000000"/>
          <w:sz w:val="24"/>
          <w:szCs w:val="24"/>
        </w:rPr>
      </w:pPr>
      <w:r w:rsidRPr="00393090">
        <w:rPr>
          <w:rFonts w:ascii="Century Gothic" w:hAnsi="Century Gothic"/>
          <w:color w:val="000000"/>
          <w:sz w:val="24"/>
          <w:szCs w:val="24"/>
        </w:rPr>
        <w:t xml:space="preserve">Genotyping </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r w:rsidRPr="00393090">
        <w:rPr>
          <w:rFonts w:ascii="Century Gothic" w:hAnsi="Century Gothic"/>
          <w:color w:val="000000"/>
          <w:sz w:val="24"/>
          <w:szCs w:val="24"/>
        </w:rPr>
        <w:t>Quantitative real-time RT-PCR (</w:t>
      </w:r>
      <w:proofErr w:type="spellStart"/>
      <w:r w:rsidRPr="00393090">
        <w:rPr>
          <w:rFonts w:ascii="Century Gothic" w:hAnsi="Century Gothic"/>
          <w:color w:val="000000"/>
          <w:sz w:val="24"/>
          <w:szCs w:val="24"/>
        </w:rPr>
        <w:t>TaqMan</w:t>
      </w:r>
      <w:proofErr w:type="spellEnd"/>
      <w:r w:rsidRPr="00393090">
        <w:rPr>
          <w:rFonts w:ascii="Century Gothic" w:hAnsi="Century Gothic"/>
          <w:color w:val="000000"/>
          <w:sz w:val="24"/>
          <w:szCs w:val="24"/>
        </w:rPr>
        <w:t xml:space="preserve"> and SYBR green platforms)</w:t>
      </w:r>
      <w:r w:rsidRPr="00393090">
        <w:rPr>
          <w:rFonts w:ascii="Century Gothic" w:hAnsi="Century Gothic"/>
          <w:color w:val="000000"/>
          <w:sz w:val="24"/>
          <w:szCs w:val="24"/>
        </w:rPr>
        <w:br/>
        <w:t>Digital PCR (</w:t>
      </w:r>
      <w:proofErr w:type="spellStart"/>
      <w:r w:rsidRPr="00393090">
        <w:rPr>
          <w:rFonts w:ascii="Century Gothic" w:hAnsi="Century Gothic"/>
          <w:color w:val="000000"/>
          <w:sz w:val="24"/>
          <w:szCs w:val="24"/>
        </w:rPr>
        <w:t>QuantStudio</w:t>
      </w:r>
      <w:proofErr w:type="spellEnd"/>
      <w:r w:rsidRPr="00393090">
        <w:rPr>
          <w:rFonts w:ascii="Century Gothic" w:hAnsi="Century Gothic"/>
          <w:color w:val="000000"/>
          <w:sz w:val="24"/>
          <w:szCs w:val="24"/>
        </w:rPr>
        <w:t xml:space="preserve"> 3D)</w:t>
      </w:r>
      <w:hyperlink r:id="rId7" w:history="1">
        <w:r w:rsidRPr="00393090">
          <w:rPr>
            <w:rFonts w:ascii="Century Gothic" w:hAnsi="Century Gothic"/>
            <w:color w:val="1F4E79"/>
            <w:sz w:val="24"/>
            <w:szCs w:val="24"/>
            <w:u w:val="single"/>
          </w:rPr>
          <w:br/>
        </w:r>
      </w:hyperlink>
      <w:proofErr w:type="spellStart"/>
      <w:r w:rsidRPr="00393090">
        <w:rPr>
          <w:rFonts w:ascii="Century Gothic" w:hAnsi="Century Gothic"/>
          <w:color w:val="000000"/>
          <w:sz w:val="24"/>
          <w:szCs w:val="24"/>
        </w:rPr>
        <w:t>Luminex</w:t>
      </w:r>
      <w:proofErr w:type="spellEnd"/>
      <w:r w:rsidRPr="00393090">
        <w:rPr>
          <w:rFonts w:ascii="Century Gothic" w:hAnsi="Century Gothic"/>
          <w:color w:val="000000"/>
          <w:sz w:val="24"/>
          <w:szCs w:val="24"/>
        </w:rPr>
        <w:t xml:space="preserve">  bead technology (Bio-</w:t>
      </w:r>
      <w:proofErr w:type="spellStart"/>
      <w:r w:rsidRPr="00393090">
        <w:rPr>
          <w:rFonts w:ascii="Century Gothic" w:hAnsi="Century Gothic"/>
          <w:color w:val="000000"/>
          <w:sz w:val="24"/>
          <w:szCs w:val="24"/>
        </w:rPr>
        <w:t>Plex</w:t>
      </w:r>
      <w:proofErr w:type="spellEnd"/>
      <w:r w:rsidRPr="00393090">
        <w:rPr>
          <w:rFonts w:ascii="Century Gothic" w:hAnsi="Century Gothic"/>
          <w:color w:val="000000"/>
          <w:sz w:val="24"/>
          <w:szCs w:val="24"/>
        </w:rPr>
        <w:t xml:space="preserve"> 200 instrument)</w:t>
      </w:r>
      <w:r w:rsidRPr="00393090">
        <w:rPr>
          <w:rFonts w:ascii="Century Gothic" w:hAnsi="Century Gothic"/>
          <w:color w:val="000000"/>
          <w:sz w:val="24"/>
          <w:szCs w:val="24"/>
        </w:rPr>
        <w:br/>
        <w:t>Pyrosequencing (</w:t>
      </w:r>
      <w:proofErr w:type="spellStart"/>
      <w:r w:rsidRPr="00393090">
        <w:rPr>
          <w:rFonts w:ascii="Century Gothic" w:hAnsi="Century Gothic"/>
          <w:color w:val="000000"/>
          <w:sz w:val="24"/>
          <w:szCs w:val="24"/>
        </w:rPr>
        <w:t>PyroMark</w:t>
      </w:r>
      <w:proofErr w:type="spellEnd"/>
      <w:r w:rsidRPr="00393090">
        <w:rPr>
          <w:rFonts w:ascii="Century Gothic" w:hAnsi="Century Gothic"/>
          <w:color w:val="000000"/>
          <w:sz w:val="24"/>
          <w:szCs w:val="24"/>
        </w:rPr>
        <w:t xml:space="preserve"> MD </w:t>
      </w:r>
      <w:proofErr w:type="spellStart"/>
      <w:r w:rsidRPr="00393090">
        <w:rPr>
          <w:rFonts w:ascii="Century Gothic" w:hAnsi="Century Gothic"/>
          <w:color w:val="000000"/>
          <w:sz w:val="24"/>
          <w:szCs w:val="24"/>
        </w:rPr>
        <w:t>Pyrosequencer</w:t>
      </w:r>
      <w:proofErr w:type="spellEnd"/>
      <w:r w:rsidRPr="00393090">
        <w:rPr>
          <w:rFonts w:ascii="Century Gothic" w:hAnsi="Century Gothic"/>
          <w:color w:val="000000"/>
          <w:sz w:val="24"/>
          <w:szCs w:val="24"/>
        </w:rPr>
        <w:t>)</w:t>
      </w:r>
      <w:r w:rsidRPr="00393090">
        <w:rPr>
          <w:rFonts w:ascii="Century Gothic" w:hAnsi="Century Gothic"/>
          <w:color w:val="000000"/>
          <w:sz w:val="24"/>
          <w:szCs w:val="24"/>
        </w:rPr>
        <w:br/>
      </w:r>
      <w:proofErr w:type="spellStart"/>
      <w:r w:rsidRPr="00393090">
        <w:rPr>
          <w:rFonts w:ascii="Century Gothic" w:hAnsi="Century Gothic"/>
          <w:color w:val="000000"/>
          <w:sz w:val="24"/>
          <w:szCs w:val="24"/>
        </w:rPr>
        <w:t>QIAxcel</w:t>
      </w:r>
      <w:proofErr w:type="spellEnd"/>
      <w:r w:rsidRPr="00393090">
        <w:rPr>
          <w:rFonts w:ascii="Century Gothic" w:hAnsi="Century Gothic"/>
          <w:color w:val="000000"/>
          <w:sz w:val="24"/>
          <w:szCs w:val="24"/>
        </w:rPr>
        <w:t xml:space="preserve"> System (Formerly known as </w:t>
      </w:r>
      <w:proofErr w:type="spellStart"/>
      <w:r w:rsidRPr="00393090">
        <w:rPr>
          <w:rFonts w:ascii="Century Gothic" w:hAnsi="Century Gothic"/>
          <w:color w:val="000000"/>
          <w:sz w:val="24"/>
          <w:szCs w:val="24"/>
        </w:rPr>
        <w:t>eGene</w:t>
      </w:r>
      <w:proofErr w:type="spellEnd"/>
      <w:r w:rsidRPr="00393090">
        <w:rPr>
          <w:rFonts w:ascii="Century Gothic" w:hAnsi="Century Gothic"/>
          <w:color w:val="000000"/>
          <w:sz w:val="24"/>
          <w:szCs w:val="24"/>
        </w:rPr>
        <w:t xml:space="preserve">) automated capillary electrophoresis </w:t>
      </w:r>
      <w:r w:rsidRPr="00393090">
        <w:rPr>
          <w:rFonts w:ascii="Century Gothic" w:hAnsi="Century Gothic"/>
          <w:color w:val="000000"/>
          <w:sz w:val="24"/>
          <w:szCs w:val="24"/>
        </w:rPr>
        <w:br/>
      </w:r>
      <w:proofErr w:type="spellStart"/>
      <w:r w:rsidRPr="00393090">
        <w:rPr>
          <w:rFonts w:ascii="Century Gothic" w:hAnsi="Century Gothic"/>
          <w:color w:val="000000"/>
          <w:sz w:val="24"/>
          <w:szCs w:val="24"/>
        </w:rPr>
        <w:t>BioAnalyzer</w:t>
      </w:r>
      <w:proofErr w:type="spellEnd"/>
      <w:r w:rsidRPr="00393090">
        <w:rPr>
          <w:rFonts w:ascii="Century Gothic" w:hAnsi="Century Gothic"/>
          <w:color w:val="000000"/>
          <w:sz w:val="24"/>
          <w:szCs w:val="24"/>
        </w:rPr>
        <w:t xml:space="preserve"> (capillary electrophoresis)</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proofErr w:type="spellStart"/>
      <w:r w:rsidRPr="00393090">
        <w:rPr>
          <w:rFonts w:ascii="Century Gothic" w:hAnsi="Century Gothic"/>
          <w:color w:val="000000"/>
          <w:sz w:val="24"/>
          <w:szCs w:val="24"/>
        </w:rPr>
        <w:t>NanoDrop</w:t>
      </w:r>
      <w:proofErr w:type="spellEnd"/>
      <w:r w:rsidRPr="00393090">
        <w:rPr>
          <w:rFonts w:ascii="Century Gothic" w:hAnsi="Century Gothic"/>
          <w:color w:val="000000"/>
          <w:sz w:val="24"/>
          <w:szCs w:val="24"/>
        </w:rPr>
        <w:t xml:space="preserve"> spectrophotometer</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r w:rsidRPr="00393090">
        <w:rPr>
          <w:rFonts w:ascii="Century Gothic" w:hAnsi="Century Gothic"/>
          <w:color w:val="000000"/>
          <w:sz w:val="24"/>
          <w:szCs w:val="24"/>
        </w:rPr>
        <w:t xml:space="preserve">Qubit </w:t>
      </w:r>
      <w:proofErr w:type="spellStart"/>
      <w:r w:rsidRPr="00393090">
        <w:rPr>
          <w:rFonts w:ascii="Century Gothic" w:hAnsi="Century Gothic"/>
          <w:color w:val="000000"/>
          <w:sz w:val="24"/>
          <w:szCs w:val="24"/>
        </w:rPr>
        <w:t>Fluorometer</w:t>
      </w:r>
      <w:proofErr w:type="spellEnd"/>
    </w:p>
    <w:p w:rsidR="00393090" w:rsidRPr="009A4369" w:rsidRDefault="00393090" w:rsidP="00393090">
      <w:pPr>
        <w:shd w:val="clear" w:color="auto" w:fill="FFFFFF"/>
        <w:spacing w:before="100" w:beforeAutospacing="1" w:after="100" w:afterAutospacing="1"/>
        <w:ind w:left="-360"/>
        <w:jc w:val="center"/>
        <w:rPr>
          <w:rFonts w:ascii="Century Gothic" w:hAnsi="Century Gothic" w:cstheme="minorHAnsi"/>
          <w:b/>
          <w:color w:val="000000"/>
          <w:sz w:val="24"/>
          <w:szCs w:val="24"/>
        </w:rPr>
      </w:pPr>
      <w:r w:rsidRPr="009A4369">
        <w:rPr>
          <w:rFonts w:ascii="Century Gothic" w:hAnsi="Century Gothic" w:cstheme="minorHAnsi"/>
          <w:b/>
          <w:color w:val="000000"/>
          <w:sz w:val="24"/>
          <w:szCs w:val="24"/>
        </w:rPr>
        <w:t>Molecular Cloning Se</w:t>
      </w:r>
      <w:r w:rsidR="0034141A">
        <w:rPr>
          <w:rFonts w:ascii="Century Gothic" w:hAnsi="Century Gothic" w:cstheme="minorHAnsi"/>
          <w:b/>
          <w:color w:val="000000"/>
          <w:sz w:val="24"/>
          <w:szCs w:val="24"/>
        </w:rPr>
        <w:t>rvices</w:t>
      </w:r>
    </w:p>
    <w:p w:rsidR="00393090" w:rsidRPr="009A4369" w:rsidRDefault="00393090" w:rsidP="00393090">
      <w:pPr>
        <w:spacing w:after="240"/>
        <w:rPr>
          <w:rFonts w:ascii="Century Gothic" w:hAnsi="Century Gothic"/>
          <w:sz w:val="24"/>
          <w:szCs w:val="24"/>
        </w:rPr>
      </w:pPr>
      <w:r w:rsidRPr="009A4369">
        <w:rPr>
          <w:rFonts w:ascii="Century Gothic" w:hAnsi="Century Gothic"/>
          <w:sz w:val="24"/>
          <w:szCs w:val="24"/>
        </w:rPr>
        <w:t xml:space="preserve">We design and create </w:t>
      </w:r>
      <w:proofErr w:type="gramStart"/>
      <w:r w:rsidRPr="009A4369">
        <w:rPr>
          <w:rFonts w:ascii="Century Gothic" w:hAnsi="Century Gothic"/>
          <w:sz w:val="24"/>
          <w:szCs w:val="24"/>
        </w:rPr>
        <w:t>a molecules</w:t>
      </w:r>
      <w:proofErr w:type="gramEnd"/>
      <w:r w:rsidRPr="009A4369">
        <w:rPr>
          <w:rFonts w:ascii="Century Gothic" w:hAnsi="Century Gothic"/>
          <w:sz w:val="24"/>
          <w:szCs w:val="24"/>
        </w:rPr>
        <w:t xml:space="preserve"> of DNA (plasmids) which have desired characteristics and can be used in different experiments. For instance: protein expression, gene knock out,</w:t>
      </w:r>
      <w:r>
        <w:rPr>
          <w:rFonts w:ascii="Century Gothic" w:hAnsi="Century Gothic"/>
          <w:sz w:val="24"/>
          <w:szCs w:val="24"/>
        </w:rPr>
        <w:t xml:space="preserve"> </w:t>
      </w:r>
      <w:r w:rsidRPr="009A4369">
        <w:rPr>
          <w:rFonts w:ascii="Century Gothic" w:hAnsi="Century Gothic"/>
          <w:sz w:val="24"/>
          <w:szCs w:val="24"/>
        </w:rPr>
        <w:t>protein localization, protein interaction and others.</w:t>
      </w: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 xml:space="preserve">PET ex vivo </w:t>
      </w:r>
      <w:proofErr w:type="spellStart"/>
      <w:r w:rsidRPr="009A4369">
        <w:rPr>
          <w:rFonts w:ascii="Century Gothic" w:hAnsi="Century Gothic" w:cstheme="minorHAnsi"/>
          <w:b/>
          <w:bCs/>
          <w:color w:val="000000"/>
          <w:sz w:val="24"/>
          <w:szCs w:val="24"/>
        </w:rPr>
        <w:t>Radiometabolite</w:t>
      </w:r>
      <w:proofErr w:type="spellEnd"/>
      <w:r w:rsidRPr="009A4369">
        <w:rPr>
          <w:rFonts w:ascii="Century Gothic" w:hAnsi="Century Gothic" w:cstheme="minorHAnsi"/>
          <w:b/>
          <w:bCs/>
          <w:color w:val="000000"/>
          <w:sz w:val="24"/>
          <w:szCs w:val="24"/>
        </w:rPr>
        <w:t xml:space="preserve"> Laboratory (PERL)</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The PET </w:t>
      </w:r>
      <w:r w:rsidRPr="009A4369">
        <w:rPr>
          <w:rFonts w:ascii="Century Gothic" w:hAnsi="Century Gothic" w:cstheme="minorHAnsi"/>
          <w:i/>
          <w:iCs/>
          <w:color w:val="000000"/>
          <w:sz w:val="24"/>
          <w:szCs w:val="24"/>
        </w:rPr>
        <w:t>ex vivo</w:t>
      </w:r>
      <w:r w:rsidRPr="009A4369">
        <w:rPr>
          <w:rFonts w:ascii="Century Gothic" w:hAnsi="Century Gothic" w:cstheme="minorHAnsi"/>
          <w:color w:val="000000"/>
          <w:sz w:val="24"/>
          <w:szCs w:val="24"/>
        </w:rPr>
        <w:t> </w:t>
      </w:r>
      <w:proofErr w:type="spellStart"/>
      <w:r w:rsidRPr="009A4369">
        <w:rPr>
          <w:rFonts w:ascii="Century Gothic" w:hAnsi="Century Gothic" w:cstheme="minorHAnsi"/>
          <w:color w:val="000000"/>
          <w:sz w:val="24"/>
          <w:szCs w:val="24"/>
        </w:rPr>
        <w:t>Radiometabolite</w:t>
      </w:r>
      <w:proofErr w:type="spellEnd"/>
      <w:r w:rsidRPr="009A4369">
        <w:rPr>
          <w:rFonts w:ascii="Century Gothic" w:hAnsi="Century Gothic" w:cstheme="minorHAnsi"/>
          <w:color w:val="000000"/>
          <w:sz w:val="24"/>
          <w:szCs w:val="24"/>
        </w:rPr>
        <w:t xml:space="preserve"> Laboratory (PERL) is a facility of the Stony Brook University PET Research Core. It is dedicated to the </w:t>
      </w:r>
      <w:r w:rsidRPr="009A4369">
        <w:rPr>
          <w:rFonts w:ascii="Century Gothic" w:hAnsi="Century Gothic" w:cstheme="minorHAnsi"/>
          <w:i/>
          <w:iCs/>
          <w:color w:val="000000"/>
          <w:sz w:val="24"/>
          <w:szCs w:val="24"/>
        </w:rPr>
        <w:t>ex vivo </w:t>
      </w:r>
      <w:r w:rsidRPr="009A4369">
        <w:rPr>
          <w:rFonts w:ascii="Century Gothic" w:hAnsi="Century Gothic" w:cstheme="minorHAnsi"/>
          <w:color w:val="000000"/>
          <w:sz w:val="24"/>
          <w:szCs w:val="24"/>
        </w:rPr>
        <w:t xml:space="preserve">analysis of blood and other tissue samples to support preclinical and clinical PET imaging at Stony Brook University. The laboratory has comprehensive facilities for </w:t>
      </w:r>
      <w:proofErr w:type="spellStart"/>
      <w:r w:rsidRPr="009A4369">
        <w:rPr>
          <w:rFonts w:ascii="Century Gothic" w:hAnsi="Century Gothic" w:cstheme="minorHAnsi"/>
          <w:color w:val="000000"/>
          <w:sz w:val="24"/>
          <w:szCs w:val="24"/>
        </w:rPr>
        <w:t>radioanalytical</w:t>
      </w:r>
      <w:proofErr w:type="spellEnd"/>
      <w:r w:rsidRPr="009A4369">
        <w:rPr>
          <w:rFonts w:ascii="Century Gothic" w:hAnsi="Century Gothic" w:cstheme="minorHAnsi"/>
          <w:color w:val="000000"/>
          <w:sz w:val="24"/>
          <w:szCs w:val="24"/>
        </w:rPr>
        <w:t xml:space="preserve"> chemistry.</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lastRenderedPageBreak/>
        <w:t>PERL is a fully equipped laboratory adjacent to the PET/MRI imaging facility which is able to:</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Perform basic blood chemistry on baseline blood samples</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Perform basic blood chemistry on radioactive blood samples</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Assay radioactivity in whole blood, serum or plasma</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Analyze whole blood samples for free radiopharmaceutical fraction</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Analyze serum samples for intact radiopharmaceutical and </w:t>
      </w:r>
      <w:proofErr w:type="spellStart"/>
      <w:r w:rsidRPr="009A4369">
        <w:rPr>
          <w:rFonts w:ascii="Century Gothic" w:hAnsi="Century Gothic" w:cstheme="minorHAnsi"/>
          <w:color w:val="000000"/>
          <w:sz w:val="24"/>
          <w:szCs w:val="24"/>
        </w:rPr>
        <w:t>radiometabolites</w:t>
      </w:r>
      <w:proofErr w:type="spellEnd"/>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Analyze other tissue samples for radiopharmaceutical and </w:t>
      </w:r>
      <w:proofErr w:type="spellStart"/>
      <w:r w:rsidRPr="009A4369">
        <w:rPr>
          <w:rFonts w:ascii="Century Gothic" w:hAnsi="Century Gothic" w:cstheme="minorHAnsi"/>
          <w:color w:val="000000"/>
          <w:sz w:val="24"/>
          <w:szCs w:val="24"/>
        </w:rPr>
        <w:t>radiometabolites</w:t>
      </w:r>
      <w:proofErr w:type="spellEnd"/>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These analyses are essential for the correct modeling of radiopharmaceutical uptake and retention.</w:t>
      </w:r>
    </w:p>
    <w:p w:rsidR="00393090" w:rsidRPr="008030B2" w:rsidRDefault="00393090" w:rsidP="00393090">
      <w:pPr>
        <w:shd w:val="clear" w:color="auto" w:fill="FFFFFF"/>
        <w:spacing w:before="100" w:beforeAutospacing="1" w:after="100" w:afterAutospacing="1"/>
        <w:jc w:val="center"/>
        <w:rPr>
          <w:rFonts w:ascii="Century Gothic" w:hAnsi="Century Gothic" w:cs="Arial"/>
          <w:color w:val="000000"/>
          <w:sz w:val="24"/>
          <w:szCs w:val="24"/>
          <w:shd w:val="clear" w:color="auto" w:fill="FFFFFF"/>
        </w:rPr>
      </w:pPr>
      <w:r w:rsidRPr="008030B2">
        <w:rPr>
          <w:rFonts w:ascii="Century Gothic" w:hAnsi="Century Gothic" w:cs="Arial"/>
          <w:color w:val="000000"/>
          <w:sz w:val="24"/>
          <w:szCs w:val="24"/>
          <w:shd w:val="clear" w:color="auto" w:fill="FFFFFF"/>
        </w:rPr>
        <w:t>Instrumentation</w:t>
      </w:r>
    </w:p>
    <w:p w:rsidR="00393090" w:rsidRPr="009A4369" w:rsidRDefault="00393090" w:rsidP="00393090">
      <w:pPr>
        <w:pStyle w:val="ListParagraph"/>
        <w:numPr>
          <w:ilvl w:val="0"/>
          <w:numId w:val="18"/>
        </w:numPr>
        <w:shd w:val="clear" w:color="auto" w:fill="FFFFFF"/>
        <w:spacing w:before="100" w:beforeAutospacing="1" w:after="100" w:afterAutospacing="1"/>
        <w:rPr>
          <w:rFonts w:ascii="Century Gothic" w:hAnsi="Century Gothic" w:cs="Arial"/>
          <w:color w:val="000000"/>
          <w:sz w:val="24"/>
          <w:szCs w:val="24"/>
          <w:shd w:val="clear" w:color="auto" w:fill="FFFFFF"/>
        </w:rPr>
      </w:pPr>
      <w:proofErr w:type="spellStart"/>
      <w:proofErr w:type="gramStart"/>
      <w:r w:rsidRPr="009A4369">
        <w:rPr>
          <w:rFonts w:ascii="Century Gothic" w:hAnsi="Century Gothic" w:cs="Arial"/>
          <w:color w:val="000000"/>
          <w:sz w:val="24"/>
          <w:szCs w:val="24"/>
          <w:shd w:val="clear" w:color="auto" w:fill="FFFFFF"/>
        </w:rPr>
        <w:t>iSTAT</w:t>
      </w:r>
      <w:proofErr w:type="spellEnd"/>
      <w:proofErr w:type="gramEnd"/>
      <w:r w:rsidRPr="009A4369">
        <w:rPr>
          <w:rFonts w:ascii="Century Gothic" w:hAnsi="Century Gothic" w:cs="Arial"/>
          <w:color w:val="000000"/>
          <w:sz w:val="24"/>
          <w:szCs w:val="24"/>
          <w:shd w:val="clear" w:color="auto" w:fill="FFFFFF"/>
        </w:rPr>
        <w:t xml:space="preserve"> blood analyzer for the determination of simple blood chemistry such as glucose hematocrit levels in whole blood.</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Two clinical centrifuges for the isolation of plasma or serum samples. Additional centrifuges are available for ultrafiltration and for the determination of free and bound radiopharmaceutical in whole blood samples.</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Perkin Elmer Wizard 2480 fully automatic gamma counter for the counting of radioactive samples. This detector has a 3" </w:t>
      </w:r>
      <w:proofErr w:type="spellStart"/>
      <w:proofErr w:type="gramStart"/>
      <w:r w:rsidRPr="009A4369">
        <w:rPr>
          <w:rFonts w:ascii="Century Gothic" w:hAnsi="Century Gothic" w:cstheme="minorHAnsi"/>
          <w:color w:val="000000"/>
          <w:sz w:val="24"/>
          <w:szCs w:val="24"/>
        </w:rPr>
        <w:t>NaI</w:t>
      </w:r>
      <w:proofErr w:type="spellEnd"/>
      <w:r w:rsidRPr="009A4369">
        <w:rPr>
          <w:rFonts w:ascii="Century Gothic" w:hAnsi="Century Gothic" w:cstheme="minorHAnsi"/>
          <w:color w:val="000000"/>
          <w:sz w:val="24"/>
          <w:szCs w:val="24"/>
        </w:rPr>
        <w:t>(</w:t>
      </w:r>
      <w:proofErr w:type="gramEnd"/>
      <w:r w:rsidRPr="009A4369">
        <w:rPr>
          <w:rFonts w:ascii="Century Gothic" w:hAnsi="Century Gothic" w:cstheme="minorHAnsi"/>
          <w:color w:val="000000"/>
          <w:sz w:val="24"/>
          <w:szCs w:val="24"/>
        </w:rPr>
        <w:t>Tl) crystal and 1 ½" of lead shielding and is optimal for counting PET radioisotopes with minimal background and crosstalk.</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The laboratory is equipped with two Agilent HPLC systems with </w:t>
      </w:r>
      <w:proofErr w:type="spellStart"/>
      <w:r w:rsidRPr="009A4369">
        <w:rPr>
          <w:rFonts w:ascii="Century Gothic" w:hAnsi="Century Gothic" w:cstheme="minorHAnsi"/>
          <w:color w:val="000000"/>
          <w:sz w:val="24"/>
          <w:szCs w:val="24"/>
        </w:rPr>
        <w:t>LabLogic</w:t>
      </w:r>
      <w:proofErr w:type="spellEnd"/>
      <w:r w:rsidRPr="009A4369">
        <w:rPr>
          <w:rFonts w:ascii="Century Gothic" w:hAnsi="Century Gothic" w:cstheme="minorHAnsi"/>
          <w:color w:val="000000"/>
          <w:sz w:val="24"/>
          <w:szCs w:val="24"/>
        </w:rPr>
        <w:t xml:space="preserve"> </w:t>
      </w:r>
      <w:proofErr w:type="spellStart"/>
      <w:r w:rsidRPr="009A4369">
        <w:rPr>
          <w:rFonts w:ascii="Century Gothic" w:hAnsi="Century Gothic" w:cstheme="minorHAnsi"/>
          <w:color w:val="000000"/>
          <w:sz w:val="24"/>
          <w:szCs w:val="24"/>
        </w:rPr>
        <w:t>PosiRam</w:t>
      </w:r>
      <w:proofErr w:type="spellEnd"/>
      <w:r w:rsidRPr="009A4369">
        <w:rPr>
          <w:rFonts w:ascii="Century Gothic" w:hAnsi="Century Gothic" w:cstheme="minorHAnsi"/>
          <w:color w:val="000000"/>
          <w:sz w:val="24"/>
          <w:szCs w:val="24"/>
        </w:rPr>
        <w:t xml:space="preserve"> coincidence flow gamma counters. These systems offer high sensitivity detection of intact radiopharmaceuticals and radio metabolites in serums samples</w:t>
      </w:r>
    </w:p>
    <w:p w:rsidR="00393090" w:rsidRPr="009A4369"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Research Histology Core Laboratory</w:t>
      </w:r>
    </w:p>
    <w:p w:rsidR="00393090" w:rsidRPr="009A4369" w:rsidRDefault="00393090" w:rsidP="00393090">
      <w:pPr>
        <w:shd w:val="clear" w:color="auto" w:fill="FFFFFF"/>
        <w:spacing w:before="100" w:beforeAutospacing="1" w:after="100" w:afterAutospacing="1"/>
        <w:rPr>
          <w:rFonts w:ascii="Century Gothic" w:hAnsi="Century Gothic" w:cstheme="minorHAnsi"/>
          <w:b/>
          <w:bCs/>
          <w:color w:val="000000"/>
          <w:sz w:val="24"/>
          <w:szCs w:val="24"/>
        </w:rPr>
      </w:pPr>
      <w:r w:rsidRPr="009A4369">
        <w:rPr>
          <w:rFonts w:ascii="Century Gothic" w:hAnsi="Century Gothic" w:cstheme="minorHAnsi"/>
          <w:color w:val="000000"/>
          <w:sz w:val="24"/>
          <w:szCs w:val="24"/>
          <w:shd w:val="clear" w:color="auto" w:fill="FFFFFF"/>
        </w:rPr>
        <w:t xml:space="preserve">The Stony Brook Research Histology Core Lab (RHCL) provides clinical and basic science investigators with access to a wide range of histological procedures. The facility is managed by the Department of Pathology and offers gross processing of research tissue and cellular specimens, including fixation, paraffin embedding, sectioning and staining. Both routine hematoxylin and eosin (H&amp;E) and advanced </w:t>
      </w:r>
      <w:proofErr w:type="spellStart"/>
      <w:r w:rsidRPr="009A4369">
        <w:rPr>
          <w:rFonts w:ascii="Century Gothic" w:hAnsi="Century Gothic" w:cstheme="minorHAnsi"/>
          <w:color w:val="000000"/>
          <w:sz w:val="24"/>
          <w:szCs w:val="24"/>
          <w:shd w:val="clear" w:color="auto" w:fill="FFFFFF"/>
        </w:rPr>
        <w:t>immunohistochemical</w:t>
      </w:r>
      <w:proofErr w:type="spellEnd"/>
      <w:r w:rsidRPr="009A4369">
        <w:rPr>
          <w:rFonts w:ascii="Century Gothic" w:hAnsi="Century Gothic" w:cstheme="minorHAnsi"/>
          <w:color w:val="000000"/>
          <w:sz w:val="24"/>
          <w:szCs w:val="24"/>
          <w:shd w:val="clear" w:color="auto" w:fill="FFFFFF"/>
        </w:rPr>
        <w:t xml:space="preserve"> (IHC) staining methods are offered. The Core staff and scientific director are available to assist in the development of research protocols that depend on the processing of tissue or other cellular specimens.</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shd w:val="clear" w:color="auto" w:fill="FFFFFF"/>
        </w:rPr>
      </w:pPr>
      <w:r w:rsidRPr="009A4369">
        <w:rPr>
          <w:rFonts w:ascii="Century Gothic" w:hAnsi="Century Gothic" w:cstheme="minorHAnsi"/>
          <w:color w:val="000000"/>
          <w:sz w:val="24"/>
          <w:szCs w:val="24"/>
          <w:shd w:val="clear" w:color="auto" w:fill="FFFFFF"/>
        </w:rPr>
        <w:lastRenderedPageBreak/>
        <w:t xml:space="preserve">The laboratory is equipped with an embedding station, microtomes, and automated </w:t>
      </w:r>
      <w:proofErr w:type="spellStart"/>
      <w:r w:rsidRPr="009A4369">
        <w:rPr>
          <w:rFonts w:ascii="Century Gothic" w:hAnsi="Century Gothic" w:cstheme="minorHAnsi"/>
          <w:color w:val="000000"/>
          <w:sz w:val="24"/>
          <w:szCs w:val="24"/>
          <w:shd w:val="clear" w:color="auto" w:fill="FFFFFF"/>
        </w:rPr>
        <w:t>immunostainers</w:t>
      </w:r>
      <w:proofErr w:type="spellEnd"/>
      <w:r w:rsidRPr="009A4369">
        <w:rPr>
          <w:rFonts w:ascii="Century Gothic" w:hAnsi="Century Gothic" w:cstheme="minorHAnsi"/>
          <w:color w:val="000000"/>
          <w:sz w:val="24"/>
          <w:szCs w:val="24"/>
          <w:shd w:val="clear" w:color="auto" w:fill="FFFFFF"/>
        </w:rPr>
        <w:t>. Additional specialized stains may be available upon request. Additional advanced services, including preparation of research tissue microarrays, laser capture microdissection, and other methods to support tissue-based research may be arranged following consultation with the Core Lab Director. Please contact the Core Lab in advance of submitting specimens to discuss methods for sample collection and tissue fixation.</w:t>
      </w:r>
    </w:p>
    <w:p w:rsidR="00393090" w:rsidRPr="009A4369" w:rsidRDefault="00393090" w:rsidP="00393090">
      <w:pPr>
        <w:rPr>
          <w:rFonts w:ascii="Century Gothic" w:hAnsi="Century Gothic"/>
          <w:sz w:val="24"/>
          <w:szCs w:val="24"/>
        </w:rPr>
      </w:pPr>
    </w:p>
    <w:p w:rsidR="000F61E3" w:rsidRPr="000F61E3" w:rsidRDefault="000F61E3" w:rsidP="000F61E3">
      <w:pPr>
        <w:shd w:val="clear" w:color="auto" w:fill="FFFFFF"/>
        <w:spacing w:before="100" w:beforeAutospacing="1" w:after="100" w:afterAutospacing="1"/>
        <w:ind w:left="-360"/>
        <w:jc w:val="center"/>
        <w:rPr>
          <w:rFonts w:ascii="Century Gothic" w:hAnsi="Century Gothic" w:cs="Arial"/>
          <w:b/>
          <w:color w:val="000000"/>
          <w:sz w:val="24"/>
          <w:szCs w:val="24"/>
        </w:rPr>
      </w:pPr>
      <w:r w:rsidRPr="000F61E3">
        <w:rPr>
          <w:rFonts w:ascii="Century Gothic" w:hAnsi="Century Gothic" w:cs="Arial"/>
          <w:b/>
          <w:color w:val="000000"/>
          <w:sz w:val="24"/>
          <w:szCs w:val="24"/>
        </w:rPr>
        <w:t>Small-Animal PET Facility (</w:t>
      </w:r>
      <w:proofErr w:type="spellStart"/>
      <w:r w:rsidRPr="000F61E3">
        <w:rPr>
          <w:rFonts w:ascii="Century Gothic" w:hAnsi="Century Gothic" w:cs="Arial"/>
          <w:b/>
          <w:color w:val="000000"/>
          <w:sz w:val="24"/>
          <w:szCs w:val="24"/>
        </w:rPr>
        <w:t>Inveon</w:t>
      </w:r>
      <w:proofErr w:type="spellEnd"/>
      <w:r w:rsidRPr="000F61E3">
        <w:rPr>
          <w:rFonts w:ascii="Century Gothic" w:hAnsi="Century Gothic" w:cs="Arial"/>
          <w:b/>
          <w:color w:val="000000"/>
          <w:sz w:val="24"/>
          <w:szCs w:val="24"/>
        </w:rPr>
        <w:t>/</w:t>
      </w:r>
      <w:proofErr w:type="spellStart"/>
      <w:r w:rsidRPr="000F61E3">
        <w:rPr>
          <w:rFonts w:ascii="Century Gothic" w:hAnsi="Century Gothic" w:cs="Arial"/>
          <w:b/>
          <w:color w:val="000000"/>
          <w:sz w:val="24"/>
          <w:szCs w:val="24"/>
        </w:rPr>
        <w:t>microPET</w:t>
      </w:r>
      <w:proofErr w:type="spellEnd"/>
      <w:r>
        <w:rPr>
          <w:rFonts w:ascii="Century Gothic" w:hAnsi="Century Gothic" w:cs="Arial"/>
          <w:b/>
          <w:color w:val="000000"/>
          <w:sz w:val="24"/>
          <w:szCs w:val="24"/>
        </w:rPr>
        <w:t>)</w:t>
      </w:r>
    </w:p>
    <w:p w:rsidR="000F61E3" w:rsidRPr="009A4369" w:rsidRDefault="000F61E3" w:rsidP="000F61E3">
      <w:pPr>
        <w:shd w:val="clear" w:color="auto" w:fill="FFFFFF"/>
        <w:spacing w:before="100" w:beforeAutospacing="1" w:after="100" w:afterAutospacing="1"/>
        <w:rPr>
          <w:rFonts w:ascii="Century Gothic" w:hAnsi="Century Gothic" w:cs="Arial"/>
          <w:color w:val="000000"/>
          <w:sz w:val="24"/>
          <w:szCs w:val="24"/>
        </w:rPr>
      </w:pPr>
      <w:r w:rsidRPr="00825C2D">
        <w:rPr>
          <w:rFonts w:ascii="Century Gothic" w:hAnsi="Century Gothic" w:cs="Arial"/>
          <w:color w:val="000000"/>
          <w:sz w:val="24"/>
          <w:szCs w:val="24"/>
        </w:rPr>
        <w:t xml:space="preserve">Stony Brook's small-animal PET imaging facility features the Siemens </w:t>
      </w:r>
      <w:proofErr w:type="spellStart"/>
      <w:r w:rsidRPr="00825C2D">
        <w:rPr>
          <w:rFonts w:ascii="Century Gothic" w:hAnsi="Century Gothic" w:cs="Arial"/>
          <w:color w:val="000000"/>
          <w:sz w:val="24"/>
          <w:szCs w:val="24"/>
        </w:rPr>
        <w:t>Inveon</w:t>
      </w:r>
      <w:proofErr w:type="spellEnd"/>
      <w:r w:rsidRPr="00825C2D">
        <w:rPr>
          <w:rFonts w:ascii="Century Gothic" w:hAnsi="Century Gothic" w:cs="Arial"/>
          <w:color w:val="000000"/>
          <w:sz w:val="24"/>
          <w:szCs w:val="24"/>
        </w:rPr>
        <w:t xml:space="preserve"> </w:t>
      </w:r>
      <w:proofErr w:type="spellStart"/>
      <w:r w:rsidRPr="00825C2D">
        <w:rPr>
          <w:rFonts w:ascii="Century Gothic" w:hAnsi="Century Gothic" w:cs="Arial"/>
          <w:color w:val="000000"/>
          <w:sz w:val="24"/>
          <w:szCs w:val="24"/>
        </w:rPr>
        <w:t>trimodality</w:t>
      </w:r>
      <w:proofErr w:type="spellEnd"/>
      <w:r w:rsidRPr="00825C2D">
        <w:rPr>
          <w:rFonts w:ascii="Century Gothic" w:hAnsi="Century Gothic" w:cs="Arial"/>
          <w:color w:val="000000"/>
          <w:sz w:val="24"/>
          <w:szCs w:val="24"/>
        </w:rPr>
        <w:t xml:space="preserve"> PET/SPECT/CT.  The </w:t>
      </w:r>
      <w:proofErr w:type="spellStart"/>
      <w:r w:rsidRPr="00825C2D">
        <w:rPr>
          <w:rFonts w:ascii="Century Gothic" w:hAnsi="Century Gothic" w:cs="Arial"/>
          <w:color w:val="000000"/>
          <w:sz w:val="24"/>
          <w:szCs w:val="24"/>
        </w:rPr>
        <w:t>Inveon</w:t>
      </w:r>
      <w:proofErr w:type="spellEnd"/>
      <w:r w:rsidRPr="00825C2D">
        <w:rPr>
          <w:rFonts w:ascii="Century Gothic" w:hAnsi="Century Gothic" w:cs="Arial"/>
          <w:color w:val="000000"/>
          <w:sz w:val="24"/>
          <w:szCs w:val="24"/>
        </w:rPr>
        <w:t xml:space="preserve"> is a top-tier small-animal imaging platform located in a spacious lab in the main animal facility in the Health Sciences Center.  All 3 modalities can be accessed in a sequential manner, without removing the animal from the bed, thus providing a high degree of image registration. The PET component features a large field of view (9.9 cm </w:t>
      </w:r>
      <w:proofErr w:type="spellStart"/>
      <w:r w:rsidRPr="00825C2D">
        <w:rPr>
          <w:rFonts w:ascii="Century Gothic" w:hAnsi="Century Gothic" w:cs="Arial"/>
          <w:color w:val="000000"/>
          <w:sz w:val="24"/>
          <w:szCs w:val="24"/>
        </w:rPr>
        <w:t>transaxial</w:t>
      </w:r>
      <w:proofErr w:type="spellEnd"/>
      <w:r w:rsidRPr="00825C2D">
        <w:rPr>
          <w:rFonts w:ascii="Century Gothic" w:hAnsi="Century Gothic" w:cs="Arial"/>
          <w:color w:val="000000"/>
          <w:sz w:val="24"/>
          <w:szCs w:val="24"/>
        </w:rPr>
        <w:t xml:space="preserve"> x 12.7 cm axial), high spatial resolution (1.5 mm FWHM), and high sensitivity (6.8% coincidence).  The CT component provides anatomical information as well as attenuation correction for the PET.  It also has fully developed data processing software with all necessary quantitative corrections and multiple image reconstruction options (FBP, OSEM, and MAP) as well as gating functions.  Animal handling equipment includes isoflurane anesthesia machine, rectal temperature probe with closed-loop heating pad, </w:t>
      </w:r>
      <w:proofErr w:type="spellStart"/>
      <w:r w:rsidRPr="00825C2D">
        <w:rPr>
          <w:rFonts w:ascii="Century Gothic" w:hAnsi="Century Gothic" w:cs="Arial"/>
          <w:color w:val="000000"/>
          <w:sz w:val="24"/>
          <w:szCs w:val="24"/>
        </w:rPr>
        <w:t>MouseOX</w:t>
      </w:r>
      <w:proofErr w:type="spellEnd"/>
      <w:r w:rsidRPr="00825C2D">
        <w:rPr>
          <w:rFonts w:ascii="Century Gothic" w:hAnsi="Century Gothic" w:cs="Arial"/>
          <w:color w:val="000000"/>
          <w:sz w:val="24"/>
          <w:szCs w:val="24"/>
        </w:rPr>
        <w:t xml:space="preserve"> physiological monitoring (real-time display and recording of arterial oxygenation, heart and respiratory rates from a single clip-on probe).  For quantitative radioactivity measurements of radiotracers/blood/plasma, the lab includes a </w:t>
      </w:r>
      <w:proofErr w:type="spellStart"/>
      <w:r w:rsidRPr="00825C2D">
        <w:rPr>
          <w:rFonts w:ascii="Century Gothic" w:hAnsi="Century Gothic" w:cs="Arial"/>
          <w:color w:val="000000"/>
          <w:sz w:val="24"/>
          <w:szCs w:val="24"/>
        </w:rPr>
        <w:t>Biodex</w:t>
      </w:r>
      <w:proofErr w:type="spellEnd"/>
      <w:r w:rsidRPr="00825C2D">
        <w:rPr>
          <w:rFonts w:ascii="Century Gothic" w:hAnsi="Century Gothic" w:cs="Arial"/>
          <w:color w:val="000000"/>
          <w:sz w:val="24"/>
          <w:szCs w:val="24"/>
        </w:rPr>
        <w:t xml:space="preserve"> </w:t>
      </w:r>
      <w:proofErr w:type="spellStart"/>
      <w:r w:rsidRPr="00825C2D">
        <w:rPr>
          <w:rFonts w:ascii="Century Gothic" w:hAnsi="Century Gothic" w:cs="Arial"/>
          <w:color w:val="000000"/>
          <w:sz w:val="24"/>
          <w:szCs w:val="24"/>
        </w:rPr>
        <w:t>Atomlab</w:t>
      </w:r>
      <w:proofErr w:type="spellEnd"/>
      <w:r w:rsidRPr="00825C2D">
        <w:rPr>
          <w:rFonts w:ascii="Century Gothic" w:hAnsi="Century Gothic" w:cs="Arial"/>
          <w:color w:val="000000"/>
          <w:sz w:val="24"/>
          <w:szCs w:val="24"/>
        </w:rPr>
        <w:t xml:space="preserve"> 500 dose calibrator integrated with a calibrated well counter as well as standard equipment for handling blood samples (pipettes, centrifuge …).  The facility is fully approved for radioactive animal research, and the tracer F-18 labeled </w:t>
      </w:r>
      <w:proofErr w:type="spellStart"/>
      <w:r w:rsidRPr="00825C2D">
        <w:rPr>
          <w:rFonts w:ascii="Century Gothic" w:hAnsi="Century Gothic" w:cs="Arial"/>
          <w:color w:val="000000"/>
          <w:sz w:val="24"/>
          <w:szCs w:val="24"/>
        </w:rPr>
        <w:t>fluorodeoxyglucose</w:t>
      </w:r>
      <w:proofErr w:type="spellEnd"/>
      <w:r w:rsidRPr="00825C2D">
        <w:rPr>
          <w:rFonts w:ascii="Century Gothic" w:hAnsi="Century Gothic" w:cs="Arial"/>
          <w:color w:val="000000"/>
          <w:sz w:val="24"/>
          <w:szCs w:val="24"/>
        </w:rPr>
        <w:t xml:space="preserve"> is regularly delivered from regional vendors</w:t>
      </w:r>
    </w:p>
    <w:p w:rsidR="003D6D80" w:rsidRPr="003D6D80" w:rsidRDefault="003D6D80" w:rsidP="00393090">
      <w:pPr>
        <w:spacing w:line="240" w:lineRule="auto"/>
        <w:rPr>
          <w:rFonts w:ascii="Century Gothic" w:hAnsi="Century Gothic"/>
          <w:b/>
          <w:sz w:val="24"/>
          <w:szCs w:val="24"/>
        </w:rPr>
      </w:pPr>
    </w:p>
    <w:p w:rsidR="003D6D80" w:rsidRPr="003D6D80" w:rsidRDefault="003D6D80" w:rsidP="00393090">
      <w:pPr>
        <w:spacing w:line="240" w:lineRule="auto"/>
        <w:rPr>
          <w:rFonts w:ascii="Century Gothic" w:hAnsi="Century Gothic"/>
          <w:b/>
          <w:sz w:val="24"/>
          <w:szCs w:val="24"/>
        </w:rPr>
      </w:pPr>
    </w:p>
    <w:sectPr w:rsidR="003D6D80" w:rsidRPr="003D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549"/>
    <w:multiLevelType w:val="multilevel"/>
    <w:tmpl w:val="D88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72022"/>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60A43"/>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C0E72"/>
    <w:multiLevelType w:val="multilevel"/>
    <w:tmpl w:val="99E2F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F1F57"/>
    <w:multiLevelType w:val="multilevel"/>
    <w:tmpl w:val="F3D86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07CA3"/>
    <w:multiLevelType w:val="multilevel"/>
    <w:tmpl w:val="98DE2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A4706"/>
    <w:multiLevelType w:val="hybridMultilevel"/>
    <w:tmpl w:val="30F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1347A"/>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8016B"/>
    <w:multiLevelType w:val="hybridMultilevel"/>
    <w:tmpl w:val="445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7677F"/>
    <w:multiLevelType w:val="singleLevel"/>
    <w:tmpl w:val="60C02EB8"/>
    <w:lvl w:ilvl="0">
      <w:start w:val="1"/>
      <w:numFmt w:val="decimal"/>
      <w:lvlText w:val="%1)"/>
      <w:lvlJc w:val="left"/>
      <w:pPr>
        <w:tabs>
          <w:tab w:val="num" w:pos="1080"/>
        </w:tabs>
        <w:ind w:left="1080" w:hanging="360"/>
      </w:pPr>
      <w:rPr>
        <w:rFonts w:hint="default"/>
      </w:rPr>
    </w:lvl>
  </w:abstractNum>
  <w:abstractNum w:abstractNumId="10" w15:restartNumberingAfterBreak="0">
    <w:nsid w:val="37F3372D"/>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D2536"/>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72E0"/>
    <w:multiLevelType w:val="multilevel"/>
    <w:tmpl w:val="7DA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42B8D"/>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07F54"/>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312D6"/>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8424E"/>
    <w:multiLevelType w:val="multilevel"/>
    <w:tmpl w:val="DF0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34F1C"/>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E44BC"/>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C6F95"/>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3"/>
  </w:num>
  <w:num w:numId="4">
    <w:abstractNumId w:val="1"/>
  </w:num>
  <w:num w:numId="5">
    <w:abstractNumId w:val="15"/>
  </w:num>
  <w:num w:numId="6">
    <w:abstractNumId w:val="11"/>
  </w:num>
  <w:num w:numId="7">
    <w:abstractNumId w:val="2"/>
  </w:num>
  <w:num w:numId="8">
    <w:abstractNumId w:val="19"/>
  </w:num>
  <w:num w:numId="9">
    <w:abstractNumId w:val="17"/>
  </w:num>
  <w:num w:numId="10">
    <w:abstractNumId w:val="7"/>
  </w:num>
  <w:num w:numId="11">
    <w:abstractNumId w:val="3"/>
  </w:num>
  <w:num w:numId="12">
    <w:abstractNumId w:val="5"/>
  </w:num>
  <w:num w:numId="13">
    <w:abstractNumId w:val="4"/>
  </w:num>
  <w:num w:numId="14">
    <w:abstractNumId w:val="9"/>
  </w:num>
  <w:num w:numId="15">
    <w:abstractNumId w:val="14"/>
  </w:num>
  <w:num w:numId="16">
    <w:abstractNumId w:val="8"/>
  </w:num>
  <w:num w:numId="17">
    <w:abstractNumId w:val="18"/>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1C"/>
    <w:rsid w:val="00085520"/>
    <w:rsid w:val="000F61E3"/>
    <w:rsid w:val="001677EF"/>
    <w:rsid w:val="00194157"/>
    <w:rsid w:val="002B5420"/>
    <w:rsid w:val="0034141A"/>
    <w:rsid w:val="00393090"/>
    <w:rsid w:val="003C6A1C"/>
    <w:rsid w:val="003D6D80"/>
    <w:rsid w:val="00522682"/>
    <w:rsid w:val="005C676F"/>
    <w:rsid w:val="00602419"/>
    <w:rsid w:val="008030B2"/>
    <w:rsid w:val="008571AC"/>
    <w:rsid w:val="00A94A2D"/>
    <w:rsid w:val="00CE14C6"/>
    <w:rsid w:val="00E34876"/>
    <w:rsid w:val="00E368A3"/>
    <w:rsid w:val="00EF1A86"/>
    <w:rsid w:val="00E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C6FC"/>
  <w15:chartTrackingRefBased/>
  <w15:docId w15:val="{20D65E7E-2E74-448B-A33C-3FD48910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3487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76F"/>
    <w:rPr>
      <w:b/>
      <w:bCs/>
    </w:rPr>
  </w:style>
  <w:style w:type="paragraph" w:styleId="BodyTextIndent2">
    <w:name w:val="Body Text Indent 2"/>
    <w:basedOn w:val="Normal"/>
    <w:link w:val="BodyTextIndent2Char"/>
    <w:uiPriority w:val="99"/>
    <w:semiHidden/>
    <w:unhideWhenUsed/>
    <w:rsid w:val="00E34876"/>
    <w:pPr>
      <w:spacing w:after="120" w:line="480" w:lineRule="auto"/>
      <w:ind w:left="360"/>
    </w:pPr>
  </w:style>
  <w:style w:type="character" w:customStyle="1" w:styleId="BodyTextIndent2Char">
    <w:name w:val="Body Text Indent 2 Char"/>
    <w:basedOn w:val="DefaultParagraphFont"/>
    <w:link w:val="BodyTextIndent2"/>
    <w:uiPriority w:val="99"/>
    <w:semiHidden/>
    <w:rsid w:val="00E34876"/>
  </w:style>
  <w:style w:type="character" w:customStyle="1" w:styleId="Heading3Char">
    <w:name w:val="Heading 3 Char"/>
    <w:basedOn w:val="DefaultParagraphFont"/>
    <w:link w:val="Heading3"/>
    <w:uiPriority w:val="9"/>
    <w:rsid w:val="00E3487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34876"/>
    <w:rPr>
      <w:color w:val="1F4E79" w:themeColor="accent1" w:themeShade="80"/>
      <w:u w:val="single"/>
    </w:rPr>
  </w:style>
  <w:style w:type="paragraph" w:styleId="ListParagraph">
    <w:name w:val="List Paragraph"/>
    <w:basedOn w:val="Normal"/>
    <w:uiPriority w:val="34"/>
    <w:unhideWhenUsed/>
    <w:qFormat/>
    <w:rsid w:val="00E3487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7136">
      <w:bodyDiv w:val="1"/>
      <w:marLeft w:val="0"/>
      <w:marRight w:val="0"/>
      <w:marTop w:val="0"/>
      <w:marBottom w:val="0"/>
      <w:divBdr>
        <w:top w:val="none" w:sz="0" w:space="0" w:color="auto"/>
        <w:left w:val="none" w:sz="0" w:space="0" w:color="auto"/>
        <w:bottom w:val="none" w:sz="0" w:space="0" w:color="auto"/>
        <w:right w:val="none" w:sz="0" w:space="0" w:color="auto"/>
      </w:divBdr>
    </w:div>
    <w:div w:id="1675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stonybrookmedicine.edu/research-core-facilities/genomics/microar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ooks/NBK5330/" TargetMode="External"/><Relationship Id="rId5" Type="http://schemas.openxmlformats.org/officeDocument/2006/relationships/hyperlink" Target="http://www.osa.sunysb.edu/research-core-facilities/genomics/qiaxc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4029</Words>
  <Characters>24176</Characters>
  <Application>Microsoft Office Word</Application>
  <DocSecurity>0</DocSecurity>
  <Lines>326</Lines>
  <Paragraphs>77</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Andria</dc:creator>
  <cp:keywords/>
  <dc:description/>
  <cp:lastModifiedBy>Adler, Andria</cp:lastModifiedBy>
  <cp:revision>5</cp:revision>
  <dcterms:created xsi:type="dcterms:W3CDTF">2020-07-23T12:58:00Z</dcterms:created>
  <dcterms:modified xsi:type="dcterms:W3CDTF">2020-07-23T13:47:00Z</dcterms:modified>
</cp:coreProperties>
</file>